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3E" w:rsidRPr="00A1511C" w:rsidRDefault="007D3A35" w:rsidP="007D3A35">
      <w:pPr>
        <w:ind w:hanging="180"/>
        <w:jc w:val="both"/>
        <w:rPr>
          <w:b/>
          <w:bCs/>
          <w:u w:val="single"/>
        </w:rPr>
      </w:pPr>
      <w:bookmarkStart w:id="0" w:name="_GoBack"/>
      <w:bookmarkEnd w:id="0"/>
      <w:r>
        <w:rPr>
          <w:b/>
          <w:bCs/>
        </w:rPr>
        <w:t>A1631</w:t>
      </w:r>
      <w:r w:rsidR="00603AD0">
        <w:rPr>
          <w:b/>
          <w:bCs/>
        </w:rPr>
        <w:tab/>
      </w:r>
      <w:r w:rsidR="00DD7485">
        <w:rPr>
          <w:b/>
          <w:bCs/>
          <w:u w:val="single"/>
        </w:rPr>
        <w:t>FINAL</w:t>
      </w:r>
      <w:r w:rsidR="00872F5D">
        <w:rPr>
          <w:b/>
          <w:bCs/>
          <w:u w:val="single"/>
        </w:rPr>
        <w:t xml:space="preserve"> </w:t>
      </w:r>
      <w:r w:rsidR="002952AA">
        <w:rPr>
          <w:b/>
          <w:bCs/>
          <w:u w:val="single"/>
        </w:rPr>
        <w:t xml:space="preserve">ANNUAL </w:t>
      </w:r>
      <w:r w:rsidR="0010763E">
        <w:rPr>
          <w:b/>
          <w:bCs/>
          <w:u w:val="single"/>
        </w:rPr>
        <w:t xml:space="preserve">OPERATING AND CAPITAL </w:t>
      </w:r>
      <w:r w:rsidR="0044079E">
        <w:rPr>
          <w:b/>
          <w:bCs/>
          <w:u w:val="single"/>
        </w:rPr>
        <w:t>MTREF</w:t>
      </w:r>
      <w:r w:rsidR="0010763E" w:rsidRPr="00A1511C">
        <w:rPr>
          <w:b/>
          <w:bCs/>
          <w:u w:val="single"/>
        </w:rPr>
        <w:t xml:space="preserve"> FOR 20</w:t>
      </w:r>
      <w:r w:rsidR="0010763E">
        <w:rPr>
          <w:b/>
          <w:bCs/>
          <w:u w:val="single"/>
        </w:rPr>
        <w:t>1</w:t>
      </w:r>
      <w:r w:rsidR="00D27FDC">
        <w:rPr>
          <w:b/>
          <w:bCs/>
          <w:u w:val="single"/>
        </w:rPr>
        <w:t>7</w:t>
      </w:r>
      <w:r w:rsidR="0010763E" w:rsidRPr="00A1511C">
        <w:rPr>
          <w:b/>
          <w:bCs/>
          <w:u w:val="single"/>
        </w:rPr>
        <w:t>/20</w:t>
      </w:r>
      <w:r w:rsidR="0010763E">
        <w:rPr>
          <w:b/>
          <w:bCs/>
          <w:u w:val="single"/>
        </w:rPr>
        <w:t>1</w:t>
      </w:r>
      <w:r w:rsidR="00D27FDC">
        <w:rPr>
          <w:b/>
          <w:bCs/>
          <w:u w:val="single"/>
        </w:rPr>
        <w:t>8</w:t>
      </w:r>
      <w:r w:rsidR="0010763E">
        <w:rPr>
          <w:b/>
          <w:bCs/>
          <w:u w:val="single"/>
        </w:rPr>
        <w:t xml:space="preserve"> TO </w:t>
      </w:r>
      <w:r w:rsidR="00D23DF1">
        <w:rPr>
          <w:b/>
          <w:bCs/>
        </w:rPr>
        <w:tab/>
      </w:r>
      <w:r w:rsidR="0010763E">
        <w:rPr>
          <w:b/>
          <w:bCs/>
          <w:u w:val="single"/>
        </w:rPr>
        <w:t>201</w:t>
      </w:r>
      <w:r w:rsidR="00D27FDC">
        <w:rPr>
          <w:b/>
          <w:bCs/>
          <w:u w:val="single"/>
        </w:rPr>
        <w:t>9</w:t>
      </w:r>
      <w:r w:rsidR="0010763E">
        <w:rPr>
          <w:b/>
          <w:bCs/>
          <w:u w:val="single"/>
        </w:rPr>
        <w:t>/</w:t>
      </w:r>
      <w:r w:rsidR="00D27FDC">
        <w:rPr>
          <w:b/>
          <w:bCs/>
          <w:u w:val="single"/>
        </w:rPr>
        <w:t>20</w:t>
      </w:r>
      <w:r w:rsidR="00346FB1">
        <w:rPr>
          <w:b/>
          <w:bCs/>
          <w:u w:val="single"/>
        </w:rPr>
        <w:t xml:space="preserve"> PERIOD </w:t>
      </w:r>
      <w:r w:rsidR="0010763E" w:rsidRPr="00A1511C">
        <w:rPr>
          <w:b/>
          <w:bCs/>
          <w:u w:val="single"/>
        </w:rPr>
        <w:t xml:space="preserve">FOR </w:t>
      </w:r>
      <w:r w:rsidR="0010763E">
        <w:rPr>
          <w:b/>
          <w:bCs/>
          <w:u w:val="single"/>
        </w:rPr>
        <w:t>S</w:t>
      </w:r>
      <w:r w:rsidR="0010763E" w:rsidRPr="00A1511C">
        <w:rPr>
          <w:b/>
          <w:bCs/>
          <w:u w:val="single"/>
        </w:rPr>
        <w:t>EDIBENG DISTRICT MUNICIPALITY</w:t>
      </w:r>
    </w:p>
    <w:p w:rsidR="0010763E" w:rsidRDefault="0010763E">
      <w:pPr>
        <w:rPr>
          <w:b/>
          <w:bCs/>
        </w:rPr>
      </w:pPr>
    </w:p>
    <w:p w:rsidR="0010763E" w:rsidRPr="000C764A" w:rsidRDefault="00603AD0">
      <w:pPr>
        <w:rPr>
          <w:b/>
          <w:bCs/>
          <w:lang w:val="pt-BR"/>
        </w:rPr>
      </w:pPr>
      <w:r>
        <w:rPr>
          <w:b/>
          <w:bCs/>
          <w:lang w:val="pt-BR"/>
        </w:rPr>
        <w:tab/>
      </w:r>
      <w:r w:rsidR="0010763E" w:rsidRPr="000C764A">
        <w:rPr>
          <w:b/>
          <w:bCs/>
          <w:lang w:val="pt-BR"/>
        </w:rPr>
        <w:t>(5/1/1) (201</w:t>
      </w:r>
      <w:r w:rsidR="00D27FDC">
        <w:rPr>
          <w:b/>
          <w:bCs/>
          <w:lang w:val="pt-BR"/>
        </w:rPr>
        <w:t>7</w:t>
      </w:r>
      <w:r w:rsidR="0010763E" w:rsidRPr="000C764A">
        <w:rPr>
          <w:b/>
          <w:bCs/>
          <w:lang w:val="pt-BR"/>
        </w:rPr>
        <w:t>/201</w:t>
      </w:r>
      <w:r w:rsidR="00D27FDC">
        <w:rPr>
          <w:b/>
          <w:bCs/>
          <w:lang w:val="pt-BR"/>
        </w:rPr>
        <w:t>8</w:t>
      </w:r>
      <w:r w:rsidR="0010763E" w:rsidRPr="000C764A">
        <w:rPr>
          <w:b/>
          <w:bCs/>
          <w:lang w:val="pt-BR"/>
        </w:rPr>
        <w:t>)</w:t>
      </w:r>
      <w:r w:rsidR="0010763E" w:rsidRPr="000C764A">
        <w:rPr>
          <w:b/>
          <w:bCs/>
          <w:lang w:val="pt-BR"/>
        </w:rPr>
        <w:tab/>
      </w:r>
      <w:r w:rsidR="0010763E" w:rsidRPr="000C764A">
        <w:rPr>
          <w:b/>
          <w:bCs/>
          <w:lang w:val="pt-BR"/>
        </w:rPr>
        <w:tab/>
      </w:r>
      <w:r w:rsidR="0010763E" w:rsidRPr="000C764A">
        <w:rPr>
          <w:b/>
          <w:bCs/>
          <w:lang w:val="pt-BR"/>
        </w:rPr>
        <w:tab/>
      </w:r>
      <w:r w:rsidR="0010763E" w:rsidRPr="000C764A">
        <w:rPr>
          <w:b/>
          <w:bCs/>
          <w:lang w:val="pt-BR"/>
        </w:rPr>
        <w:tab/>
      </w:r>
      <w:r w:rsidR="0010763E" w:rsidRPr="000C764A">
        <w:rPr>
          <w:b/>
          <w:bCs/>
          <w:lang w:val="pt-BR"/>
        </w:rPr>
        <w:tab/>
      </w:r>
      <w:r w:rsidR="0064089B">
        <w:rPr>
          <w:b/>
          <w:bCs/>
          <w:lang w:val="pt-BR"/>
        </w:rPr>
        <w:tab/>
      </w:r>
      <w:r w:rsidR="0010763E" w:rsidRPr="000C764A">
        <w:rPr>
          <w:b/>
          <w:bCs/>
          <w:lang w:val="pt-BR"/>
        </w:rPr>
        <w:t xml:space="preserve">Cluster:  </w:t>
      </w:r>
      <w:r w:rsidR="00D27FDC">
        <w:rPr>
          <w:b/>
          <w:bCs/>
          <w:lang w:val="pt-BR"/>
        </w:rPr>
        <w:t>Finance</w:t>
      </w:r>
    </w:p>
    <w:p w:rsidR="0010763E" w:rsidRPr="000C764A" w:rsidRDefault="00603AD0" w:rsidP="00603AD0">
      <w:pPr>
        <w:ind w:left="6300" w:hanging="720"/>
        <w:rPr>
          <w:b/>
          <w:bCs/>
          <w:lang w:val="pt-BR"/>
        </w:rPr>
      </w:pPr>
      <w:r>
        <w:rPr>
          <w:b/>
          <w:bCs/>
          <w:lang w:val="pt-BR"/>
        </w:rPr>
        <w:t xml:space="preserve"> </w:t>
      </w:r>
      <w:r w:rsidR="0064089B">
        <w:rPr>
          <w:b/>
          <w:bCs/>
          <w:lang w:val="pt-BR"/>
        </w:rPr>
        <w:tab/>
      </w:r>
      <w:r>
        <w:rPr>
          <w:b/>
          <w:bCs/>
          <w:lang w:val="pt-BR"/>
        </w:rPr>
        <w:t xml:space="preserve">  </w:t>
      </w:r>
      <w:r w:rsidR="00872F5D">
        <w:rPr>
          <w:b/>
          <w:bCs/>
          <w:lang w:val="pt-BR"/>
        </w:rPr>
        <w:tab/>
      </w:r>
      <w:r w:rsidR="0010763E" w:rsidRPr="000C764A">
        <w:rPr>
          <w:b/>
          <w:bCs/>
          <w:lang w:val="pt-BR"/>
        </w:rPr>
        <w:t xml:space="preserve">Portfolio:  </w:t>
      </w:r>
      <w:r w:rsidR="00243CDB">
        <w:rPr>
          <w:b/>
          <w:bCs/>
          <w:lang w:val="pt-BR"/>
        </w:rPr>
        <w:t>Finance</w:t>
      </w:r>
      <w:r w:rsidR="00D27FDC">
        <w:rPr>
          <w:b/>
          <w:bCs/>
          <w:lang w:val="pt-BR"/>
        </w:rPr>
        <w:tab/>
      </w:r>
    </w:p>
    <w:p w:rsidR="0010763E" w:rsidRDefault="0010763E">
      <w:pPr>
        <w:rPr>
          <w:lang w:val="pt-BR"/>
        </w:rPr>
      </w:pPr>
    </w:p>
    <w:p w:rsidR="0010763E" w:rsidRPr="00B95589" w:rsidRDefault="00243CDB" w:rsidP="00243CDB">
      <w:pPr>
        <w:ind w:left="360"/>
        <w:rPr>
          <w:u w:val="single"/>
        </w:rPr>
      </w:pPr>
      <w:r>
        <w:tab/>
      </w:r>
      <w:r w:rsidR="0010763E" w:rsidRPr="00B95589">
        <w:rPr>
          <w:u w:val="single"/>
        </w:rPr>
        <w:t xml:space="preserve">PURPOSE </w:t>
      </w:r>
    </w:p>
    <w:p w:rsidR="0010763E" w:rsidRDefault="0010763E" w:rsidP="00B86D29">
      <w:pPr>
        <w:jc w:val="both"/>
      </w:pPr>
    </w:p>
    <w:p w:rsidR="0010763E" w:rsidRDefault="00E91428" w:rsidP="00B86D29">
      <w:pPr>
        <w:ind w:left="720"/>
        <w:jc w:val="both"/>
      </w:pPr>
      <w:r>
        <w:t>T</w:t>
      </w:r>
      <w:r w:rsidR="00180B05">
        <w:t xml:space="preserve">o </w:t>
      </w:r>
      <w:r w:rsidR="0044079E">
        <w:t xml:space="preserve">table </w:t>
      </w:r>
      <w:r w:rsidR="00DD7485">
        <w:t xml:space="preserve">a high level synopsise on the </w:t>
      </w:r>
      <w:r w:rsidR="002952AA">
        <w:t xml:space="preserve">Annual </w:t>
      </w:r>
      <w:r w:rsidR="0010763E">
        <w:t xml:space="preserve">Operating and Capital </w:t>
      </w:r>
      <w:r w:rsidR="0044079E">
        <w:t>MTREF</w:t>
      </w:r>
      <w:r w:rsidR="0010763E">
        <w:t xml:space="preserve"> for the </w:t>
      </w:r>
      <w:r w:rsidR="00186DC1">
        <w:t>201</w:t>
      </w:r>
      <w:r w:rsidR="00BC4FBE">
        <w:t>7</w:t>
      </w:r>
      <w:r w:rsidR="00186DC1">
        <w:t>/201</w:t>
      </w:r>
      <w:r w:rsidR="00BC4FBE">
        <w:t>8</w:t>
      </w:r>
      <w:r w:rsidR="00745916">
        <w:t xml:space="preserve"> to 201</w:t>
      </w:r>
      <w:r w:rsidR="00BC4FBE">
        <w:t>9</w:t>
      </w:r>
      <w:r w:rsidR="00745916">
        <w:t>/</w:t>
      </w:r>
      <w:r w:rsidR="00BC4FBE">
        <w:t>20</w:t>
      </w:r>
      <w:r w:rsidR="0010763E">
        <w:t xml:space="preserve"> financial period</w:t>
      </w:r>
      <w:r w:rsidR="0044079E">
        <w:t xml:space="preserve"> in terms of Section 16(2) of the MFMA</w:t>
      </w:r>
      <w:r w:rsidR="0010763E">
        <w:t>.</w:t>
      </w:r>
    </w:p>
    <w:p w:rsidR="0010763E" w:rsidRPr="002A2B97" w:rsidRDefault="0010763E" w:rsidP="00B95589">
      <w:pPr>
        <w:ind w:left="720"/>
      </w:pPr>
    </w:p>
    <w:p w:rsidR="0010763E" w:rsidRDefault="00243CDB" w:rsidP="00243CDB">
      <w:pPr>
        <w:ind w:left="360"/>
      </w:pPr>
      <w:r>
        <w:tab/>
      </w:r>
      <w:r w:rsidR="0010763E" w:rsidRPr="00A1511C">
        <w:rPr>
          <w:u w:val="single"/>
        </w:rPr>
        <w:t>BACKGROUND</w:t>
      </w:r>
    </w:p>
    <w:p w:rsidR="0010763E" w:rsidRDefault="0010763E"/>
    <w:p w:rsidR="000403B6" w:rsidRDefault="000341BF" w:rsidP="00A1511C">
      <w:pPr>
        <w:ind w:left="720"/>
        <w:jc w:val="both"/>
      </w:pPr>
      <w:r>
        <w:t xml:space="preserve">National Treasury </w:t>
      </w:r>
      <w:r w:rsidR="006D631A">
        <w:t>prescribes</w:t>
      </w:r>
      <w:r w:rsidR="00346FB1">
        <w:t xml:space="preserve"> the guidelines of the MTREF period </w:t>
      </w:r>
      <w:r w:rsidR="00E87600">
        <w:t>through a</w:t>
      </w:r>
      <w:r w:rsidR="0034685E">
        <w:t xml:space="preserve"> sustained</w:t>
      </w:r>
      <w:r w:rsidR="00E87600">
        <w:t xml:space="preserve"> and viable</w:t>
      </w:r>
      <w:r w:rsidR="0034685E">
        <w:t xml:space="preserve"> process as taken from the priorities of </w:t>
      </w:r>
      <w:r w:rsidR="00E87600">
        <w:t xml:space="preserve">the countries </w:t>
      </w:r>
      <w:r w:rsidR="0034685E">
        <w:t xml:space="preserve">National Development Plan. This is confined to our Growth and Development Strategy </w:t>
      </w:r>
      <w:r w:rsidR="00BC4FBE">
        <w:t xml:space="preserve">(as revised) </w:t>
      </w:r>
      <w:r w:rsidR="0034685E">
        <w:t xml:space="preserve">and </w:t>
      </w:r>
      <w:r w:rsidR="00BC4FBE">
        <w:t>Council’s</w:t>
      </w:r>
      <w:r w:rsidR="0034685E">
        <w:t xml:space="preserve"> 5-Year IDP. </w:t>
      </w:r>
      <w:r w:rsidR="00E87FCE">
        <w:t xml:space="preserve">In addition the Gauteng Province has pronounced </w:t>
      </w:r>
      <w:r w:rsidR="001937B8">
        <w:t xml:space="preserve">on plans to </w:t>
      </w:r>
      <w:r w:rsidR="00BC4FBE">
        <w:t xml:space="preserve">Transform, Modernise and Re-Industrialise (TMR) </w:t>
      </w:r>
      <w:r w:rsidR="000906AA">
        <w:t xml:space="preserve">the beauty and resiliency of the province. This plans are confined in a </w:t>
      </w:r>
      <w:r w:rsidR="00E87FCE">
        <w:t xml:space="preserve">ten pillar vision </w:t>
      </w:r>
      <w:r w:rsidR="000906AA">
        <w:t>by the Premier which states the following:</w:t>
      </w:r>
    </w:p>
    <w:p w:rsidR="00B86D29" w:rsidRDefault="00B86D29" w:rsidP="00A1511C">
      <w:pPr>
        <w:ind w:left="720"/>
        <w:jc w:val="both"/>
      </w:pPr>
    </w:p>
    <w:p w:rsidR="000341BF" w:rsidRPr="00BC4FBE" w:rsidRDefault="000403B6" w:rsidP="00243CDB">
      <w:pPr>
        <w:numPr>
          <w:ilvl w:val="0"/>
          <w:numId w:val="7"/>
        </w:numPr>
        <w:ind w:left="720" w:firstLine="0"/>
        <w:jc w:val="both"/>
        <w:rPr>
          <w:i/>
        </w:rPr>
      </w:pPr>
      <w:r w:rsidRPr="00BC4FBE">
        <w:rPr>
          <w:i/>
        </w:rPr>
        <w:t>Radical economic transformation;</w:t>
      </w:r>
    </w:p>
    <w:p w:rsidR="000403B6" w:rsidRPr="00BC4FBE" w:rsidRDefault="000403B6" w:rsidP="00243CDB">
      <w:pPr>
        <w:numPr>
          <w:ilvl w:val="0"/>
          <w:numId w:val="7"/>
        </w:numPr>
        <w:ind w:left="720" w:firstLine="0"/>
        <w:jc w:val="both"/>
        <w:rPr>
          <w:i/>
        </w:rPr>
      </w:pPr>
      <w:r w:rsidRPr="00BC4FBE">
        <w:rPr>
          <w:i/>
        </w:rPr>
        <w:t>Decisive spatial transformation;</w:t>
      </w:r>
    </w:p>
    <w:p w:rsidR="000403B6" w:rsidRPr="00BC4FBE" w:rsidRDefault="000403B6" w:rsidP="00243CDB">
      <w:pPr>
        <w:numPr>
          <w:ilvl w:val="0"/>
          <w:numId w:val="7"/>
        </w:numPr>
        <w:ind w:left="720" w:firstLine="0"/>
        <w:jc w:val="both"/>
        <w:rPr>
          <w:i/>
        </w:rPr>
      </w:pPr>
      <w:r w:rsidRPr="00BC4FBE">
        <w:rPr>
          <w:i/>
        </w:rPr>
        <w:t>Accelerating social transformation;</w:t>
      </w:r>
    </w:p>
    <w:p w:rsidR="000403B6" w:rsidRPr="00BC4FBE" w:rsidRDefault="003606C6" w:rsidP="00243CDB">
      <w:pPr>
        <w:numPr>
          <w:ilvl w:val="0"/>
          <w:numId w:val="7"/>
        </w:numPr>
        <w:ind w:left="720" w:firstLine="0"/>
        <w:jc w:val="both"/>
        <w:rPr>
          <w:i/>
        </w:rPr>
      </w:pPr>
      <w:r w:rsidRPr="00BC4FBE">
        <w:rPr>
          <w:i/>
        </w:rPr>
        <w:t>Transformation of the state and governance;</w:t>
      </w:r>
    </w:p>
    <w:p w:rsidR="003606C6" w:rsidRPr="00BC4FBE" w:rsidRDefault="003606C6" w:rsidP="00243CDB">
      <w:pPr>
        <w:numPr>
          <w:ilvl w:val="0"/>
          <w:numId w:val="7"/>
        </w:numPr>
        <w:ind w:left="720" w:firstLine="0"/>
        <w:jc w:val="both"/>
        <w:rPr>
          <w:i/>
        </w:rPr>
      </w:pPr>
      <w:r w:rsidRPr="00BC4FBE">
        <w:rPr>
          <w:i/>
        </w:rPr>
        <w:t>Modernisation of the economy;</w:t>
      </w:r>
    </w:p>
    <w:p w:rsidR="003606C6" w:rsidRPr="00BC4FBE" w:rsidRDefault="003606C6" w:rsidP="00243CDB">
      <w:pPr>
        <w:numPr>
          <w:ilvl w:val="0"/>
          <w:numId w:val="7"/>
        </w:numPr>
        <w:ind w:left="720" w:firstLine="0"/>
        <w:jc w:val="both"/>
        <w:rPr>
          <w:i/>
        </w:rPr>
      </w:pPr>
      <w:r w:rsidRPr="00BC4FBE">
        <w:rPr>
          <w:i/>
        </w:rPr>
        <w:t>Modernisation of the public service and the state;</w:t>
      </w:r>
    </w:p>
    <w:p w:rsidR="003606C6" w:rsidRPr="00BC4FBE" w:rsidRDefault="003606C6" w:rsidP="00243CDB">
      <w:pPr>
        <w:numPr>
          <w:ilvl w:val="0"/>
          <w:numId w:val="7"/>
        </w:numPr>
        <w:ind w:left="720" w:firstLine="0"/>
        <w:jc w:val="both"/>
        <w:rPr>
          <w:i/>
        </w:rPr>
      </w:pPr>
      <w:r w:rsidRPr="00BC4FBE">
        <w:rPr>
          <w:i/>
        </w:rPr>
        <w:t>Modernisation of human settlements and urban development;</w:t>
      </w:r>
    </w:p>
    <w:p w:rsidR="0085234E" w:rsidRPr="00BC4FBE" w:rsidRDefault="0085234E" w:rsidP="00243CDB">
      <w:pPr>
        <w:numPr>
          <w:ilvl w:val="0"/>
          <w:numId w:val="7"/>
        </w:numPr>
        <w:ind w:left="720" w:firstLine="0"/>
        <w:jc w:val="both"/>
        <w:rPr>
          <w:i/>
        </w:rPr>
      </w:pPr>
      <w:r w:rsidRPr="00BC4FBE">
        <w:rPr>
          <w:i/>
        </w:rPr>
        <w:t>Modernisation of the public transport and other infrastructure;</w:t>
      </w:r>
    </w:p>
    <w:p w:rsidR="0085234E" w:rsidRPr="00BC4FBE" w:rsidRDefault="0085234E" w:rsidP="00243CDB">
      <w:pPr>
        <w:numPr>
          <w:ilvl w:val="0"/>
          <w:numId w:val="7"/>
        </w:numPr>
        <w:ind w:left="720" w:firstLine="0"/>
        <w:jc w:val="both"/>
        <w:rPr>
          <w:i/>
        </w:rPr>
      </w:pPr>
      <w:r w:rsidRPr="00BC4FBE">
        <w:rPr>
          <w:i/>
        </w:rPr>
        <w:t>Re-industrialising Gauteng as the country’s economic hub; and</w:t>
      </w:r>
    </w:p>
    <w:p w:rsidR="0085234E" w:rsidRPr="00BC4FBE" w:rsidRDefault="0085234E" w:rsidP="00243CDB">
      <w:pPr>
        <w:numPr>
          <w:ilvl w:val="0"/>
          <w:numId w:val="7"/>
        </w:numPr>
        <w:ind w:left="720" w:firstLine="0"/>
        <w:jc w:val="both"/>
        <w:rPr>
          <w:i/>
        </w:rPr>
      </w:pPr>
      <w:r w:rsidRPr="00BC4FBE">
        <w:rPr>
          <w:i/>
        </w:rPr>
        <w:t>Taking the lead in Africa’s new industrial revolution.</w:t>
      </w:r>
    </w:p>
    <w:p w:rsidR="009F35A3" w:rsidRDefault="009F35A3" w:rsidP="00A1511C">
      <w:pPr>
        <w:ind w:left="720"/>
        <w:jc w:val="both"/>
      </w:pPr>
    </w:p>
    <w:p w:rsidR="00412931" w:rsidRDefault="00412931" w:rsidP="00412931">
      <w:pPr>
        <w:ind w:left="720"/>
        <w:jc w:val="both"/>
      </w:pPr>
      <w:r>
        <w:t xml:space="preserve">The reporting requirements of this budget are </w:t>
      </w:r>
      <w:r w:rsidR="00483387">
        <w:t>disclosed in terms of the MFMA C</w:t>
      </w:r>
      <w:r>
        <w:t>irculars 48, 51, 54, 55, 58, 66, 67, 70, 74, 78, 79, 85 and 86 as well as the Municipal Budget and Reporting Regulations (MBRR GN 393 of 2009) and the Municipal Standard Chart of Accounts Regulations (MSCOA GN</w:t>
      </w:r>
      <w:r w:rsidR="00A06933">
        <w:t>R. 312 of 2014)</w:t>
      </w:r>
      <w:r>
        <w:t>.</w:t>
      </w:r>
    </w:p>
    <w:p w:rsidR="00412931" w:rsidRDefault="00412931" w:rsidP="00412931">
      <w:pPr>
        <w:ind w:left="720"/>
        <w:jc w:val="both"/>
      </w:pPr>
    </w:p>
    <w:p w:rsidR="00B21ED0" w:rsidRPr="006B7681" w:rsidRDefault="00B21ED0" w:rsidP="00412931">
      <w:pPr>
        <w:ind w:left="720"/>
        <w:jc w:val="both"/>
        <w:rPr>
          <w:u w:val="single"/>
        </w:rPr>
      </w:pPr>
      <w:r w:rsidRPr="006B7681">
        <w:rPr>
          <w:u w:val="single"/>
        </w:rPr>
        <w:t>Budgeting Approach</w:t>
      </w:r>
    </w:p>
    <w:p w:rsidR="00B21ED0" w:rsidRPr="00B21ED0" w:rsidRDefault="00B21ED0" w:rsidP="00412931">
      <w:pPr>
        <w:ind w:left="720"/>
        <w:jc w:val="both"/>
        <w:rPr>
          <w:i/>
        </w:rPr>
      </w:pPr>
    </w:p>
    <w:p w:rsidR="007146B7" w:rsidRPr="00E73F07" w:rsidRDefault="00DD7485" w:rsidP="00A1511C">
      <w:pPr>
        <w:ind w:left="720"/>
        <w:jc w:val="both"/>
      </w:pPr>
      <w:r>
        <w:t xml:space="preserve">In order for Council to see improvement in the </w:t>
      </w:r>
      <w:r w:rsidR="007146B7" w:rsidRPr="00E73F07">
        <w:t xml:space="preserve">economic health </w:t>
      </w:r>
      <w:r>
        <w:t>of the</w:t>
      </w:r>
      <w:r w:rsidR="00195078">
        <w:t>Sedibeng Dist</w:t>
      </w:r>
      <w:r w:rsidR="00A06933">
        <w:t>rict Municipality, Council needed</w:t>
      </w:r>
      <w:r w:rsidR="00195078">
        <w:t xml:space="preserve"> to adopt a conservative budgeting approach</w:t>
      </w:r>
      <w:r w:rsidR="007146B7" w:rsidRPr="00E73F07">
        <w:t>.</w:t>
      </w:r>
      <w:r w:rsidR="00195078">
        <w:t xml:space="preserve">The municipality’s expenditure currently exceeds their income, and this trend has seen the </w:t>
      </w:r>
      <w:r w:rsidR="00B21ED0">
        <w:t>depletion of the municipal</w:t>
      </w:r>
      <w:r w:rsidR="00195078">
        <w:t xml:space="preserve"> cash-backed reserves</w:t>
      </w:r>
      <w:r w:rsidR="00B21ED0">
        <w:t xml:space="preserve"> over the last five years</w:t>
      </w:r>
      <w:r w:rsidR="00195078">
        <w:t>. T</w:t>
      </w:r>
      <w:r w:rsidR="00F94CF4">
        <w:t xml:space="preserve">he </w:t>
      </w:r>
      <w:r w:rsidR="00195078">
        <w:t xml:space="preserve">municipality must now take on </w:t>
      </w:r>
      <w:r w:rsidR="004F37BE">
        <w:t xml:space="preserve">radical </w:t>
      </w:r>
      <w:r w:rsidR="00F94CF4">
        <w:t>cost containment measure</w:t>
      </w:r>
      <w:r w:rsidR="00ED10D4">
        <w:t>s</w:t>
      </w:r>
      <w:r w:rsidR="004F37BE">
        <w:t>as part of the implementation of the 2017/2018</w:t>
      </w:r>
      <w:r w:rsidR="007B566C">
        <w:t xml:space="preserve"> budget</w:t>
      </w:r>
      <w:r w:rsidR="004F37BE">
        <w:t xml:space="preserve">, with an appetite to bridge the growing </w:t>
      </w:r>
      <w:r w:rsidR="00412931">
        <w:t xml:space="preserve">gap </w:t>
      </w:r>
      <w:r w:rsidR="00412931" w:rsidRPr="00E73F07">
        <w:t>between</w:t>
      </w:r>
      <w:r w:rsidR="004F37BE">
        <w:t xml:space="preserve"> municipal revenue and municipal </w:t>
      </w:r>
      <w:r w:rsidR="00412931">
        <w:t xml:space="preserve">operational </w:t>
      </w:r>
      <w:r w:rsidR="004F37BE">
        <w:t>expenditure</w:t>
      </w:r>
      <w:r w:rsidR="00412931">
        <w:t xml:space="preserve">. </w:t>
      </w:r>
    </w:p>
    <w:p w:rsidR="007146B7" w:rsidRPr="001E4685" w:rsidRDefault="007146B7" w:rsidP="00A1511C">
      <w:pPr>
        <w:ind w:left="720"/>
        <w:jc w:val="both"/>
        <w:rPr>
          <w:color w:val="FF0000"/>
        </w:rPr>
      </w:pPr>
    </w:p>
    <w:p w:rsidR="00186DC1" w:rsidRDefault="00186DC1" w:rsidP="00A1511C">
      <w:pPr>
        <w:ind w:left="720"/>
        <w:jc w:val="both"/>
      </w:pPr>
    </w:p>
    <w:p w:rsidR="007F60EA" w:rsidRDefault="007F60EA" w:rsidP="00A1511C">
      <w:pPr>
        <w:ind w:left="720"/>
        <w:jc w:val="both"/>
      </w:pPr>
    </w:p>
    <w:p w:rsidR="008B7D2F" w:rsidRDefault="00A06933" w:rsidP="00A1511C">
      <w:pPr>
        <w:ind w:left="720"/>
        <w:jc w:val="both"/>
      </w:pPr>
      <w:r>
        <w:lastRenderedPageBreak/>
        <w:t>F</w:t>
      </w:r>
      <w:r w:rsidR="00E3375F">
        <w:t xml:space="preserve">or </w:t>
      </w:r>
      <w:r>
        <w:t>the compilation of the 2017/2018 MTREF, the municipality has had to incorporate the shrinking</w:t>
      </w:r>
      <w:r w:rsidR="00E3375F">
        <w:t xml:space="preserve"> revenue base (primarily composed of grants &amp; subsidies), while </w:t>
      </w:r>
      <w:r w:rsidR="001B5558">
        <w:t>also having to accommodate</w:t>
      </w:r>
      <w:r w:rsidR="00E3375F">
        <w:t xml:space="preserve">operational expenditure </w:t>
      </w:r>
      <w:r w:rsidR="001B5558">
        <w:t>growing</w:t>
      </w:r>
      <w:r w:rsidR="00E3375F">
        <w:t xml:space="preserve"> at a rate of CPI with salaries &amp; employee-related costs growing at above CPI (due to the collective bargaining agreement).</w:t>
      </w:r>
    </w:p>
    <w:p w:rsidR="00DD2C97" w:rsidRDefault="00DD2C97" w:rsidP="00A1511C">
      <w:pPr>
        <w:ind w:left="720"/>
        <w:jc w:val="both"/>
      </w:pPr>
    </w:p>
    <w:p w:rsidR="00DD2C97" w:rsidRDefault="00DD2C97" w:rsidP="00A1511C">
      <w:pPr>
        <w:ind w:left="720"/>
        <w:jc w:val="both"/>
      </w:pPr>
      <w:r>
        <w:t>The implementation of the Municipal Standard Chart of Accounts (MSCOA), has also assisted the municipality in moving away from cost line budgeting towards project-based budgeting.</w:t>
      </w:r>
    </w:p>
    <w:p w:rsidR="00D96CEF" w:rsidRDefault="00D96CEF" w:rsidP="00ED10D4">
      <w:pPr>
        <w:ind w:left="720" w:hanging="720"/>
        <w:jc w:val="both"/>
      </w:pPr>
    </w:p>
    <w:p w:rsidR="0010763E" w:rsidRDefault="00483387" w:rsidP="00483387">
      <w:pPr>
        <w:jc w:val="both"/>
        <w:rPr>
          <w:caps/>
          <w:u w:val="single"/>
        </w:rPr>
      </w:pPr>
      <w:r>
        <w:rPr>
          <w:caps/>
        </w:rPr>
        <w:tab/>
      </w:r>
      <w:r w:rsidR="0010763E" w:rsidRPr="00320C59">
        <w:rPr>
          <w:caps/>
          <w:u w:val="single"/>
        </w:rPr>
        <w:t>Budget</w:t>
      </w:r>
      <w:r w:rsidR="0010763E">
        <w:rPr>
          <w:caps/>
          <w:u w:val="single"/>
        </w:rPr>
        <w:t xml:space="preserve"> DISCUSSION</w:t>
      </w:r>
    </w:p>
    <w:p w:rsidR="00F958B8" w:rsidRDefault="00F958B8" w:rsidP="00F958B8">
      <w:pPr>
        <w:ind w:left="360"/>
        <w:jc w:val="both"/>
        <w:rPr>
          <w:caps/>
          <w:u w:val="single"/>
        </w:rPr>
      </w:pPr>
    </w:p>
    <w:p w:rsidR="00F958B8" w:rsidRDefault="00F958B8" w:rsidP="00F958B8">
      <w:pPr>
        <w:ind w:left="720"/>
        <w:jc w:val="both"/>
      </w:pPr>
      <w:r>
        <w:t xml:space="preserve">The Draft Annual Budget is strategically aligned to the </w:t>
      </w:r>
      <w:r w:rsidR="00B21ED0">
        <w:t>Integrated Development Plan (</w:t>
      </w:r>
      <w:r>
        <w:t>IDP</w:t>
      </w:r>
      <w:r w:rsidR="00B21ED0">
        <w:t>)</w:t>
      </w:r>
      <w:r>
        <w:t xml:space="preserve"> 201</w:t>
      </w:r>
      <w:r w:rsidR="00E3375F">
        <w:t>7</w:t>
      </w:r>
      <w:r w:rsidR="00B21ED0">
        <w:t>/2021 five-year strategy</w:t>
      </w:r>
      <w:r>
        <w:t>and provides the financial framework to the strategic objectives and targets</w:t>
      </w:r>
      <w:r w:rsidR="00B21ED0">
        <w:t xml:space="preserve"> for the upcoming three years</w:t>
      </w:r>
      <w:r>
        <w:t xml:space="preserve">. </w:t>
      </w:r>
      <w:r w:rsidR="002333BC">
        <w:t>The</w:t>
      </w:r>
      <w:r w:rsidR="00F4017E">
        <w:t xml:space="preserve"> budget</w:t>
      </w:r>
      <w:r w:rsidR="002333BC">
        <w:t xml:space="preserve">must thus </w:t>
      </w:r>
      <w:r>
        <w:t>conf</w:t>
      </w:r>
      <w:r w:rsidR="002333BC">
        <w:t>orm</w:t>
      </w:r>
      <w:r>
        <w:t xml:space="preserve"> to the key objectives</w:t>
      </w:r>
      <w:r w:rsidR="00F4017E">
        <w:t xml:space="preserve"> and strategies of the </w:t>
      </w:r>
      <w:r w:rsidR="002333BC">
        <w:t xml:space="preserve">Sedibeng </w:t>
      </w:r>
      <w:r>
        <w:t>District Municipality</w:t>
      </w:r>
      <w:r w:rsidR="00F4017E">
        <w:t xml:space="preserve">. In this process </w:t>
      </w:r>
      <w:r>
        <w:t xml:space="preserve">the Finance Cluster met individually with the </w:t>
      </w:r>
      <w:r w:rsidR="002A199A">
        <w:t>MMCs, ED</w:t>
      </w:r>
      <w:r>
        <w:t>s and HODs (or their duly delegated representatives) of all Clusters</w:t>
      </w:r>
      <w:r w:rsidR="002A199A">
        <w:t xml:space="preserve">. </w:t>
      </w:r>
      <w:r>
        <w:t xml:space="preserve">As a result of the limited resources </w:t>
      </w:r>
      <w:r w:rsidR="002333BC">
        <w:t>(</w:t>
      </w:r>
      <w:r>
        <w:t>as determined by National Treasury by means of the equitable share allocation</w:t>
      </w:r>
      <w:r w:rsidR="002333BC">
        <w:t>)</w:t>
      </w:r>
      <w:r>
        <w:t xml:space="preserve"> the budget had to be drawn up within those </w:t>
      </w:r>
      <w:r w:rsidR="00714481">
        <w:t xml:space="preserve">tight </w:t>
      </w:r>
      <w:r>
        <w:t>constraints</w:t>
      </w:r>
      <w:r w:rsidR="009E7482">
        <w:t xml:space="preserve"> based on the decline of this major revenue source</w:t>
      </w:r>
      <w:r w:rsidR="002875EF">
        <w:t xml:space="preserve"> over the last </w:t>
      </w:r>
      <w:r w:rsidR="002A199A">
        <w:t>seven</w:t>
      </w:r>
      <w:r w:rsidR="002875EF">
        <w:t xml:space="preserve"> years</w:t>
      </w:r>
      <w:r>
        <w:t xml:space="preserve">. </w:t>
      </w:r>
    </w:p>
    <w:p w:rsidR="00E87600" w:rsidRDefault="00E87600" w:rsidP="00F958B8">
      <w:pPr>
        <w:ind w:left="720"/>
        <w:jc w:val="both"/>
      </w:pPr>
    </w:p>
    <w:p w:rsidR="00E87600" w:rsidRDefault="00D63958" w:rsidP="00E87600">
      <w:pPr>
        <w:ind w:left="720"/>
        <w:jc w:val="both"/>
      </w:pPr>
      <w:r>
        <w:t>During the 201</w:t>
      </w:r>
      <w:r w:rsidR="00DD2C97">
        <w:t>7</w:t>
      </w:r>
      <w:r w:rsidR="00E87600">
        <w:t>/201</w:t>
      </w:r>
      <w:r w:rsidR="00DD2C97">
        <w:t>8</w:t>
      </w:r>
      <w:r w:rsidR="00E87600">
        <w:t xml:space="preserve"> budget process, Clusters were tasked to provide their budgetary requests as per their needs analysis</w:t>
      </w:r>
      <w:r w:rsidR="00E40246">
        <w:t>, using the MSCOA project-based approach,</w:t>
      </w:r>
      <w:r w:rsidR="00E87600">
        <w:t xml:space="preserve"> and in alignment to IDP key performance areas. Incremental based budgeting was only used for expenses which have existing obligations, such as employee-related costs. </w:t>
      </w:r>
    </w:p>
    <w:p w:rsidR="00E87600" w:rsidRDefault="00E87600" w:rsidP="00E87600">
      <w:pPr>
        <w:ind w:left="720"/>
        <w:jc w:val="both"/>
      </w:pPr>
    </w:p>
    <w:p w:rsidR="00E87600" w:rsidRDefault="00E87600" w:rsidP="00E87600">
      <w:pPr>
        <w:ind w:left="720"/>
        <w:jc w:val="both"/>
      </w:pPr>
      <w:r>
        <w:t xml:space="preserve">The budget was compiled based on a trend analysis taking into consideration the </w:t>
      </w:r>
      <w:r w:rsidR="00E40246">
        <w:t>anticipated</w:t>
      </w:r>
      <w:r>
        <w:t xml:space="preserve"> revenue </w:t>
      </w:r>
      <w:r w:rsidR="00E40246">
        <w:t>realisable</w:t>
      </w:r>
      <w:r>
        <w:t xml:space="preserve"> in the 201</w:t>
      </w:r>
      <w:r w:rsidR="00E40246">
        <w:t>7</w:t>
      </w:r>
      <w:r>
        <w:t>/1</w:t>
      </w:r>
      <w:r w:rsidR="00E40246">
        <w:t>8</w:t>
      </w:r>
      <w:r>
        <w:t xml:space="preserve"> financial year. Contractual obligations such as salaries and contracted services were first determined whereby general expenses were reduced in </w:t>
      </w:r>
      <w:r w:rsidR="00E40246">
        <w:t>an effort</w:t>
      </w:r>
      <w:r>
        <w:t xml:space="preserve"> to obtain a balanced budget</w:t>
      </w:r>
      <w:r w:rsidR="00E40246">
        <w:t>.M</w:t>
      </w:r>
      <w:r>
        <w:t xml:space="preserve">inimal </w:t>
      </w:r>
      <w:r w:rsidR="00E40246">
        <w:t>allocations have beenmade</w:t>
      </w:r>
      <w:r>
        <w:t xml:space="preserve"> for capital purposes</w:t>
      </w:r>
      <w:r w:rsidR="00E40246">
        <w:t xml:space="preserve"> due to these restricted revenue streams and lack of internal reserves</w:t>
      </w:r>
      <w:r>
        <w:t>.</w:t>
      </w:r>
    </w:p>
    <w:p w:rsidR="00E40246" w:rsidRDefault="00E40246" w:rsidP="00E87600">
      <w:pPr>
        <w:ind w:left="720"/>
        <w:jc w:val="both"/>
      </w:pPr>
    </w:p>
    <w:p w:rsidR="002333BC" w:rsidRPr="002C6212" w:rsidRDefault="002333BC" w:rsidP="00E87600">
      <w:pPr>
        <w:ind w:left="720"/>
        <w:jc w:val="both"/>
        <w:rPr>
          <w:u w:val="single"/>
        </w:rPr>
      </w:pPr>
      <w:r w:rsidRPr="002C6212">
        <w:rPr>
          <w:u w:val="single"/>
        </w:rPr>
        <w:t>Public Participation Engagements</w:t>
      </w:r>
    </w:p>
    <w:p w:rsidR="002333BC" w:rsidRDefault="002333BC" w:rsidP="00E87600">
      <w:pPr>
        <w:ind w:left="720"/>
        <w:jc w:val="both"/>
        <w:rPr>
          <w:i/>
        </w:rPr>
      </w:pPr>
    </w:p>
    <w:p w:rsidR="002333BC" w:rsidRDefault="00EB5202" w:rsidP="00E87600">
      <w:pPr>
        <w:ind w:left="720"/>
        <w:jc w:val="both"/>
      </w:pPr>
      <w:r>
        <w:t>After the tabling of the draft MTREF 2017/2018 at the 96</w:t>
      </w:r>
      <w:r w:rsidRPr="00EB5202">
        <w:rPr>
          <w:vertAlign w:val="superscript"/>
        </w:rPr>
        <w:t>th</w:t>
      </w:r>
      <w:r>
        <w:t xml:space="preserve"> Council Sitting held on 29 March 2017, the municipal manager duly made the </w:t>
      </w:r>
      <w:r w:rsidR="00EE0539" w:rsidRPr="00124139">
        <w:t xml:space="preserve">consolidated three year draft Capital and Operational Budget </w:t>
      </w:r>
      <w:r>
        <w:t xml:space="preserve">public </w:t>
      </w:r>
      <w:r w:rsidR="00EE0539" w:rsidRPr="00EE0539">
        <w:t>for public consultation and submission to National Treasury, Gauteng Treasury and the MEC in terms of Section 22 and 23 of MFMA</w:t>
      </w:r>
      <w:r w:rsidR="00EE0539">
        <w:t xml:space="preserve"> (56/2003). </w:t>
      </w:r>
      <w:r w:rsidR="002333BC">
        <w:t>Engagements were held during the month of April &amp; May 2017</w:t>
      </w:r>
      <w:r w:rsidR="00EE0539">
        <w:t>to this effect.</w:t>
      </w:r>
    </w:p>
    <w:p w:rsidR="00EE0539" w:rsidRDefault="00EE0539" w:rsidP="00E87600">
      <w:pPr>
        <w:ind w:left="720"/>
        <w:jc w:val="both"/>
      </w:pPr>
    </w:p>
    <w:p w:rsidR="00EE0539" w:rsidRDefault="00EE0539" w:rsidP="00E87600">
      <w:pPr>
        <w:ind w:left="720"/>
        <w:jc w:val="both"/>
      </w:pPr>
      <w:r>
        <w:t xml:space="preserve">The </w:t>
      </w:r>
      <w:r w:rsidR="005437D2">
        <w:t>Executive Mayor</w:t>
      </w:r>
      <w:r>
        <w:t xml:space="preserve"> held the IDP Business Breakfast Engagement on </w:t>
      </w:r>
      <w:r w:rsidR="005437D2">
        <w:t>04 May 2017 with business communities and stakeholders.</w:t>
      </w:r>
    </w:p>
    <w:p w:rsidR="005437D2" w:rsidRDefault="005437D2" w:rsidP="00E87600">
      <w:pPr>
        <w:ind w:left="720"/>
        <w:jc w:val="both"/>
      </w:pPr>
    </w:p>
    <w:p w:rsidR="007F60EA" w:rsidRDefault="005437D2" w:rsidP="00F958B8">
      <w:pPr>
        <w:ind w:left="720"/>
        <w:jc w:val="both"/>
      </w:pPr>
      <w:r>
        <w:t xml:space="preserve">There was also a budget assessment held with Gauteng Provincial Treasury on 15 May 2017 with the </w:t>
      </w:r>
      <w:r w:rsidR="00F07343">
        <w:t xml:space="preserve">Acting Chief Operations Officer, the Acting Chief Financial Officer and the Acting Director: Financial Management &amp; Budgets to </w:t>
      </w:r>
      <w:r w:rsidR="00307098">
        <w:t>discuss the credibility, relevance and sustainability of the municipal budget.</w:t>
      </w:r>
    </w:p>
    <w:p w:rsidR="0010763E" w:rsidRDefault="0044079E" w:rsidP="00B616F1">
      <w:pPr>
        <w:ind w:left="720"/>
        <w:jc w:val="both"/>
        <w:rPr>
          <w:caps/>
          <w:u w:val="single"/>
        </w:rPr>
      </w:pPr>
      <w:r>
        <w:rPr>
          <w:caps/>
          <w:u w:val="single"/>
        </w:rPr>
        <w:lastRenderedPageBreak/>
        <w:t>FINANCING OF</w:t>
      </w:r>
      <w:r w:rsidR="0010763E">
        <w:rPr>
          <w:caps/>
          <w:u w:val="single"/>
        </w:rPr>
        <w:t xml:space="preserve"> OPERATING ACTIVITIES</w:t>
      </w:r>
    </w:p>
    <w:p w:rsidR="0010763E" w:rsidRDefault="0010763E" w:rsidP="00BA706E">
      <w:pPr>
        <w:ind w:left="360"/>
        <w:jc w:val="both"/>
        <w:rPr>
          <w:caps/>
          <w:u w:val="single"/>
        </w:rPr>
      </w:pPr>
    </w:p>
    <w:p w:rsidR="00F655A1" w:rsidRDefault="0010763E" w:rsidP="00533A6E">
      <w:pPr>
        <w:ind w:left="720"/>
        <w:jc w:val="both"/>
      </w:pPr>
      <w:r>
        <w:t xml:space="preserve">The budget on financial performance (previously income and expenditure statement) has been drawn up on the GRAP (Generally Recognised Accounting Practices) principles of accounting where provision for depreciation has been taken into account. </w:t>
      </w:r>
    </w:p>
    <w:p w:rsidR="00F655A1" w:rsidRDefault="00F655A1" w:rsidP="00533A6E">
      <w:pPr>
        <w:ind w:left="720"/>
        <w:jc w:val="both"/>
      </w:pPr>
    </w:p>
    <w:p w:rsidR="0010763E" w:rsidRDefault="0010763E" w:rsidP="00533A6E">
      <w:pPr>
        <w:ind w:left="720"/>
        <w:jc w:val="both"/>
      </w:pPr>
      <w:r>
        <w:t>The following should be noted:</w:t>
      </w:r>
    </w:p>
    <w:p w:rsidR="0010763E" w:rsidRDefault="0010763E" w:rsidP="00C61876">
      <w:pPr>
        <w:jc w:val="both"/>
      </w:pPr>
    </w:p>
    <w:p w:rsidR="0010763E" w:rsidRDefault="00873587" w:rsidP="00873587">
      <w:pPr>
        <w:jc w:val="both"/>
        <w:rPr>
          <w:u w:val="single"/>
        </w:rPr>
      </w:pPr>
      <w:r>
        <w:tab/>
        <w:t>1.</w:t>
      </w:r>
      <w:r>
        <w:tab/>
      </w:r>
      <w:r w:rsidR="0010763E">
        <w:rPr>
          <w:u w:val="single"/>
        </w:rPr>
        <w:t>Indicative Macroeconomic Forecasts</w:t>
      </w:r>
    </w:p>
    <w:p w:rsidR="0010763E" w:rsidRDefault="0010763E" w:rsidP="009E424E">
      <w:pPr>
        <w:ind w:left="720" w:hanging="720"/>
        <w:jc w:val="both"/>
      </w:pPr>
      <w:r>
        <w:tab/>
      </w:r>
    </w:p>
    <w:p w:rsidR="00E23348" w:rsidRDefault="0010763E" w:rsidP="00533A6E">
      <w:pPr>
        <w:ind w:left="1418" w:hanging="720"/>
        <w:jc w:val="both"/>
      </w:pPr>
      <w:r>
        <w:tab/>
        <w:t>Municipalities are expected to levy their tariffs taking into account their local economic conditions, affordability levels and remain broadly in line with macro-economic policy. Municipalities must also take account the policy and recent developments in government sectors relevant to their local communities. Tariff increases must be thoroughly substantiated in the municipal budget documentation for consultation with the community.</w:t>
      </w:r>
    </w:p>
    <w:p w:rsidR="005A15A3" w:rsidRDefault="005A15A3" w:rsidP="00533A6E">
      <w:pPr>
        <w:ind w:left="1418" w:hanging="720"/>
        <w:jc w:val="both"/>
      </w:pPr>
    </w:p>
    <w:p w:rsidR="00D63958" w:rsidRDefault="00D63958" w:rsidP="00533A6E">
      <w:pPr>
        <w:ind w:left="1418" w:hanging="720"/>
        <w:jc w:val="both"/>
      </w:pPr>
    </w:p>
    <w:tbl>
      <w:tblPr>
        <w:tblW w:w="7285" w:type="dxa"/>
        <w:tblInd w:w="1609" w:type="dxa"/>
        <w:tblBorders>
          <w:top w:val="nil"/>
          <w:left w:val="nil"/>
          <w:bottom w:val="nil"/>
          <w:right w:val="nil"/>
        </w:tblBorders>
        <w:tblLayout w:type="fixed"/>
        <w:tblLook w:val="0000" w:firstRow="0" w:lastRow="0" w:firstColumn="0" w:lastColumn="0" w:noHBand="0" w:noVBand="0"/>
      </w:tblPr>
      <w:tblGrid>
        <w:gridCol w:w="1668"/>
        <w:gridCol w:w="1404"/>
        <w:gridCol w:w="1404"/>
        <w:gridCol w:w="1405"/>
        <w:gridCol w:w="1404"/>
      </w:tblGrid>
      <w:tr w:rsidR="00C203B7" w:rsidRPr="002952AA" w:rsidTr="00C203B7">
        <w:trPr>
          <w:trHeight w:val="104"/>
        </w:trPr>
        <w:tc>
          <w:tcPr>
            <w:tcW w:w="1668" w:type="dxa"/>
            <w:tcBorders>
              <w:top w:val="single" w:sz="4" w:space="0" w:color="auto"/>
              <w:right w:val="single" w:sz="4" w:space="0" w:color="auto"/>
            </w:tcBorders>
          </w:tcPr>
          <w:p w:rsidR="00C203B7" w:rsidRPr="002952AA" w:rsidRDefault="00C203B7" w:rsidP="00491EDC">
            <w:pPr>
              <w:pStyle w:val="Default"/>
              <w:rPr>
                <w:rFonts w:ascii="Times New Roman" w:hAnsi="Times New Roman" w:cs="Times New Roman"/>
                <w:b/>
                <w:i/>
                <w:sz w:val="20"/>
                <w:szCs w:val="16"/>
              </w:rPr>
            </w:pPr>
            <w:r w:rsidRPr="002952AA">
              <w:rPr>
                <w:rFonts w:ascii="Times New Roman" w:hAnsi="Times New Roman" w:cs="Times New Roman"/>
                <w:b/>
                <w:bCs/>
                <w:i/>
                <w:sz w:val="20"/>
                <w:szCs w:val="16"/>
              </w:rPr>
              <w:t xml:space="preserve">Fiscal year </w:t>
            </w:r>
          </w:p>
        </w:tc>
        <w:tc>
          <w:tcPr>
            <w:tcW w:w="1404" w:type="dxa"/>
            <w:tcBorders>
              <w:top w:val="single" w:sz="4" w:space="0" w:color="auto"/>
              <w:left w:val="single" w:sz="4" w:space="0" w:color="auto"/>
              <w:right w:val="single" w:sz="4" w:space="0" w:color="auto"/>
            </w:tcBorders>
          </w:tcPr>
          <w:p w:rsidR="00C203B7" w:rsidRPr="002952AA" w:rsidRDefault="00C203B7" w:rsidP="00491EDC">
            <w:pPr>
              <w:pStyle w:val="Default"/>
              <w:rPr>
                <w:rFonts w:ascii="Times New Roman" w:hAnsi="Times New Roman" w:cs="Times New Roman"/>
                <w:b/>
                <w:i/>
                <w:sz w:val="20"/>
                <w:szCs w:val="16"/>
              </w:rPr>
            </w:pPr>
            <w:r w:rsidRPr="002952AA">
              <w:rPr>
                <w:rFonts w:ascii="Times New Roman" w:hAnsi="Times New Roman" w:cs="Times New Roman"/>
                <w:b/>
                <w:bCs/>
                <w:i/>
                <w:sz w:val="20"/>
                <w:szCs w:val="16"/>
              </w:rPr>
              <w:t>201</w:t>
            </w:r>
            <w:r>
              <w:rPr>
                <w:rFonts w:ascii="Times New Roman" w:hAnsi="Times New Roman" w:cs="Times New Roman"/>
                <w:b/>
                <w:bCs/>
                <w:i/>
                <w:sz w:val="20"/>
                <w:szCs w:val="16"/>
              </w:rPr>
              <w:t>6</w:t>
            </w:r>
            <w:r w:rsidRPr="002952AA">
              <w:rPr>
                <w:rFonts w:ascii="Times New Roman" w:hAnsi="Times New Roman" w:cs="Times New Roman"/>
                <w:b/>
                <w:bCs/>
                <w:i/>
                <w:sz w:val="20"/>
                <w:szCs w:val="16"/>
              </w:rPr>
              <w:t>/1</w:t>
            </w:r>
            <w:r>
              <w:rPr>
                <w:rFonts w:ascii="Times New Roman" w:hAnsi="Times New Roman" w:cs="Times New Roman"/>
                <w:b/>
                <w:bCs/>
                <w:i/>
                <w:sz w:val="20"/>
                <w:szCs w:val="16"/>
              </w:rPr>
              <w:t>7</w:t>
            </w:r>
          </w:p>
        </w:tc>
        <w:tc>
          <w:tcPr>
            <w:tcW w:w="1404" w:type="dxa"/>
            <w:tcBorders>
              <w:top w:val="single" w:sz="4" w:space="0" w:color="auto"/>
              <w:right w:val="single" w:sz="4" w:space="0" w:color="auto"/>
            </w:tcBorders>
          </w:tcPr>
          <w:p w:rsidR="00C203B7" w:rsidRPr="002952AA" w:rsidRDefault="00C203B7" w:rsidP="00491EDC">
            <w:pPr>
              <w:pStyle w:val="Default"/>
              <w:rPr>
                <w:rFonts w:ascii="Times New Roman" w:hAnsi="Times New Roman" w:cs="Times New Roman"/>
                <w:b/>
                <w:i/>
                <w:sz w:val="20"/>
                <w:szCs w:val="16"/>
              </w:rPr>
            </w:pPr>
            <w:r>
              <w:rPr>
                <w:rFonts w:ascii="Times New Roman" w:hAnsi="Times New Roman" w:cs="Times New Roman"/>
                <w:b/>
                <w:bCs/>
                <w:i/>
                <w:sz w:val="20"/>
                <w:szCs w:val="16"/>
              </w:rPr>
              <w:t>2017/18</w:t>
            </w:r>
          </w:p>
        </w:tc>
        <w:tc>
          <w:tcPr>
            <w:tcW w:w="1405" w:type="dxa"/>
            <w:tcBorders>
              <w:top w:val="single" w:sz="4" w:space="0" w:color="auto"/>
              <w:right w:val="single" w:sz="4" w:space="0" w:color="auto"/>
            </w:tcBorders>
          </w:tcPr>
          <w:p w:rsidR="00C203B7" w:rsidRPr="002952AA" w:rsidRDefault="00C203B7" w:rsidP="00491EDC">
            <w:pPr>
              <w:pStyle w:val="Default"/>
              <w:rPr>
                <w:rFonts w:ascii="Times New Roman" w:hAnsi="Times New Roman" w:cs="Times New Roman"/>
                <w:b/>
                <w:i/>
                <w:sz w:val="20"/>
                <w:szCs w:val="16"/>
              </w:rPr>
            </w:pPr>
            <w:r>
              <w:rPr>
                <w:rFonts w:ascii="Times New Roman" w:hAnsi="Times New Roman" w:cs="Times New Roman"/>
                <w:b/>
                <w:bCs/>
                <w:i/>
                <w:sz w:val="20"/>
                <w:szCs w:val="16"/>
              </w:rPr>
              <w:t>2018/19</w:t>
            </w:r>
          </w:p>
        </w:tc>
        <w:tc>
          <w:tcPr>
            <w:tcW w:w="1404" w:type="dxa"/>
            <w:tcBorders>
              <w:top w:val="single" w:sz="4" w:space="0" w:color="auto"/>
              <w:left w:val="single" w:sz="4" w:space="0" w:color="auto"/>
              <w:right w:val="nil"/>
            </w:tcBorders>
          </w:tcPr>
          <w:p w:rsidR="00C203B7" w:rsidRPr="002952AA" w:rsidRDefault="00382A80" w:rsidP="00491EDC">
            <w:pPr>
              <w:pStyle w:val="Default"/>
              <w:rPr>
                <w:rFonts w:ascii="Times New Roman" w:hAnsi="Times New Roman" w:cs="Times New Roman"/>
                <w:b/>
                <w:i/>
                <w:sz w:val="20"/>
                <w:szCs w:val="16"/>
              </w:rPr>
            </w:pPr>
            <w:r>
              <w:rPr>
                <w:rFonts w:ascii="Times New Roman" w:hAnsi="Times New Roman" w:cs="Times New Roman"/>
                <w:b/>
                <w:i/>
                <w:sz w:val="20"/>
                <w:szCs w:val="16"/>
              </w:rPr>
              <w:t>2019/20</w:t>
            </w:r>
          </w:p>
        </w:tc>
      </w:tr>
      <w:tr w:rsidR="00C203B7" w:rsidRPr="002952AA" w:rsidTr="00C203B7">
        <w:trPr>
          <w:trHeight w:val="74"/>
        </w:trPr>
        <w:tc>
          <w:tcPr>
            <w:tcW w:w="1668" w:type="dxa"/>
            <w:tcBorders>
              <w:bottom w:val="single" w:sz="4" w:space="0" w:color="auto"/>
              <w:right w:val="single" w:sz="4" w:space="0" w:color="auto"/>
            </w:tcBorders>
          </w:tcPr>
          <w:p w:rsidR="00C203B7" w:rsidRPr="002952AA" w:rsidRDefault="00C203B7" w:rsidP="00C203B7">
            <w:pPr>
              <w:pStyle w:val="Default"/>
              <w:rPr>
                <w:rFonts w:ascii="Times New Roman" w:hAnsi="Times New Roman" w:cs="Times New Roman"/>
                <w:b/>
                <w:i/>
                <w:sz w:val="20"/>
                <w:szCs w:val="16"/>
              </w:rPr>
            </w:pPr>
          </w:p>
        </w:tc>
        <w:tc>
          <w:tcPr>
            <w:tcW w:w="1404" w:type="dxa"/>
            <w:tcBorders>
              <w:left w:val="single" w:sz="4" w:space="0" w:color="auto"/>
              <w:bottom w:val="single" w:sz="4" w:space="0" w:color="auto"/>
              <w:right w:val="single" w:sz="4" w:space="0" w:color="auto"/>
            </w:tcBorders>
          </w:tcPr>
          <w:p w:rsidR="00C203B7" w:rsidRPr="002952AA" w:rsidRDefault="00C203B7" w:rsidP="00C203B7">
            <w:pPr>
              <w:pStyle w:val="Default"/>
              <w:rPr>
                <w:rFonts w:ascii="Times New Roman" w:hAnsi="Times New Roman" w:cs="Times New Roman"/>
                <w:b/>
                <w:i/>
                <w:sz w:val="20"/>
                <w:szCs w:val="16"/>
              </w:rPr>
            </w:pPr>
            <w:r w:rsidRPr="002952AA">
              <w:rPr>
                <w:rFonts w:ascii="Times New Roman" w:hAnsi="Times New Roman" w:cs="Times New Roman"/>
                <w:b/>
                <w:i/>
                <w:sz w:val="20"/>
                <w:szCs w:val="16"/>
              </w:rPr>
              <w:t>Estimate</w:t>
            </w:r>
          </w:p>
        </w:tc>
        <w:tc>
          <w:tcPr>
            <w:tcW w:w="1404" w:type="dxa"/>
            <w:tcBorders>
              <w:left w:val="single" w:sz="4" w:space="0" w:color="auto"/>
              <w:bottom w:val="single" w:sz="4" w:space="0" w:color="auto"/>
            </w:tcBorders>
          </w:tcPr>
          <w:p w:rsidR="00C203B7" w:rsidRPr="002952AA" w:rsidRDefault="00C203B7" w:rsidP="00C203B7">
            <w:pPr>
              <w:rPr>
                <w:b/>
                <w:i/>
                <w:sz w:val="20"/>
              </w:rPr>
            </w:pPr>
            <w:r w:rsidRPr="002952AA">
              <w:rPr>
                <w:b/>
                <w:i/>
                <w:sz w:val="20"/>
              </w:rPr>
              <w:t xml:space="preserve">Forecast </w:t>
            </w:r>
          </w:p>
        </w:tc>
        <w:tc>
          <w:tcPr>
            <w:tcW w:w="1405" w:type="dxa"/>
            <w:tcBorders>
              <w:left w:val="single" w:sz="4" w:space="0" w:color="auto"/>
              <w:bottom w:val="single" w:sz="4" w:space="0" w:color="auto"/>
              <w:right w:val="single" w:sz="4" w:space="0" w:color="auto"/>
            </w:tcBorders>
          </w:tcPr>
          <w:p w:rsidR="00C203B7" w:rsidRPr="002952AA" w:rsidRDefault="00C203B7" w:rsidP="00C203B7">
            <w:pPr>
              <w:rPr>
                <w:b/>
                <w:i/>
                <w:sz w:val="20"/>
              </w:rPr>
            </w:pPr>
            <w:r w:rsidRPr="002952AA">
              <w:rPr>
                <w:b/>
                <w:i/>
                <w:sz w:val="20"/>
              </w:rPr>
              <w:t xml:space="preserve">Forecast </w:t>
            </w:r>
          </w:p>
        </w:tc>
        <w:tc>
          <w:tcPr>
            <w:tcW w:w="1404" w:type="dxa"/>
            <w:tcBorders>
              <w:bottom w:val="single" w:sz="4" w:space="0" w:color="auto"/>
              <w:right w:val="nil"/>
            </w:tcBorders>
          </w:tcPr>
          <w:p w:rsidR="00C203B7" w:rsidRPr="002952AA" w:rsidRDefault="00C203B7" w:rsidP="00C203B7">
            <w:pPr>
              <w:pStyle w:val="Default"/>
              <w:rPr>
                <w:rFonts w:ascii="Times New Roman" w:hAnsi="Times New Roman" w:cs="Times New Roman"/>
                <w:b/>
                <w:i/>
                <w:sz w:val="20"/>
                <w:szCs w:val="16"/>
              </w:rPr>
            </w:pPr>
            <w:r w:rsidRPr="002952AA">
              <w:rPr>
                <w:rFonts w:ascii="Times New Roman" w:hAnsi="Times New Roman" w:cs="Times New Roman"/>
                <w:b/>
                <w:bCs/>
                <w:i/>
                <w:sz w:val="20"/>
                <w:szCs w:val="16"/>
              </w:rPr>
              <w:t xml:space="preserve">Forecast </w:t>
            </w:r>
          </w:p>
        </w:tc>
      </w:tr>
      <w:tr w:rsidR="00C203B7" w:rsidRPr="002952AA" w:rsidTr="00C203B7">
        <w:trPr>
          <w:trHeight w:val="118"/>
        </w:trPr>
        <w:tc>
          <w:tcPr>
            <w:tcW w:w="1668" w:type="dxa"/>
            <w:tcBorders>
              <w:top w:val="single" w:sz="4" w:space="0" w:color="auto"/>
              <w:bottom w:val="single" w:sz="4" w:space="0" w:color="auto"/>
              <w:right w:val="single" w:sz="4" w:space="0" w:color="auto"/>
            </w:tcBorders>
          </w:tcPr>
          <w:p w:rsidR="00C203B7" w:rsidRPr="002952AA" w:rsidRDefault="00C203B7" w:rsidP="00C203B7">
            <w:pPr>
              <w:pStyle w:val="Default"/>
              <w:rPr>
                <w:rFonts w:ascii="Times New Roman" w:hAnsi="Times New Roman" w:cs="Times New Roman"/>
                <w:i/>
                <w:sz w:val="22"/>
                <w:szCs w:val="16"/>
              </w:rPr>
            </w:pPr>
            <w:r w:rsidRPr="002952AA">
              <w:rPr>
                <w:rFonts w:ascii="Times New Roman" w:hAnsi="Times New Roman" w:cs="Times New Roman"/>
                <w:bCs/>
                <w:i/>
                <w:sz w:val="22"/>
                <w:szCs w:val="16"/>
              </w:rPr>
              <w:t xml:space="preserve">CPI Inflation </w:t>
            </w:r>
          </w:p>
        </w:tc>
        <w:tc>
          <w:tcPr>
            <w:tcW w:w="1404" w:type="dxa"/>
            <w:tcBorders>
              <w:top w:val="single" w:sz="4" w:space="0" w:color="auto"/>
              <w:left w:val="single" w:sz="4" w:space="0" w:color="auto"/>
              <w:bottom w:val="single" w:sz="4" w:space="0" w:color="auto"/>
              <w:right w:val="single" w:sz="4" w:space="0" w:color="auto"/>
            </w:tcBorders>
          </w:tcPr>
          <w:p w:rsidR="00C203B7" w:rsidRPr="002952AA" w:rsidRDefault="00C203B7" w:rsidP="00C203B7">
            <w:pPr>
              <w:pStyle w:val="Default"/>
              <w:rPr>
                <w:rFonts w:ascii="Times New Roman" w:hAnsi="Times New Roman" w:cs="Times New Roman"/>
                <w:sz w:val="22"/>
                <w:szCs w:val="16"/>
              </w:rPr>
            </w:pPr>
            <w:r>
              <w:rPr>
                <w:rFonts w:ascii="Times New Roman" w:hAnsi="Times New Roman" w:cs="Times New Roman"/>
                <w:sz w:val="22"/>
                <w:szCs w:val="16"/>
              </w:rPr>
              <w:t>6,4%</w:t>
            </w:r>
          </w:p>
        </w:tc>
        <w:tc>
          <w:tcPr>
            <w:tcW w:w="1404" w:type="dxa"/>
            <w:tcBorders>
              <w:top w:val="single" w:sz="4" w:space="0" w:color="auto"/>
              <w:left w:val="single" w:sz="4" w:space="0" w:color="auto"/>
              <w:bottom w:val="single" w:sz="4" w:space="0" w:color="auto"/>
            </w:tcBorders>
          </w:tcPr>
          <w:p w:rsidR="00C203B7" w:rsidRPr="002952AA" w:rsidRDefault="00C203B7" w:rsidP="00C203B7">
            <w:pPr>
              <w:pStyle w:val="Default"/>
              <w:rPr>
                <w:rFonts w:ascii="Times New Roman" w:hAnsi="Times New Roman" w:cs="Times New Roman"/>
                <w:sz w:val="22"/>
                <w:szCs w:val="16"/>
              </w:rPr>
            </w:pPr>
            <w:r>
              <w:rPr>
                <w:rFonts w:ascii="Times New Roman" w:hAnsi="Times New Roman" w:cs="Times New Roman"/>
                <w:sz w:val="22"/>
                <w:szCs w:val="16"/>
              </w:rPr>
              <w:t>6,4%</w:t>
            </w:r>
          </w:p>
        </w:tc>
        <w:tc>
          <w:tcPr>
            <w:tcW w:w="1405" w:type="dxa"/>
            <w:tcBorders>
              <w:top w:val="single" w:sz="4" w:space="0" w:color="auto"/>
              <w:left w:val="single" w:sz="4" w:space="0" w:color="auto"/>
              <w:bottom w:val="single" w:sz="4" w:space="0" w:color="auto"/>
              <w:right w:val="single" w:sz="4" w:space="0" w:color="auto"/>
            </w:tcBorders>
          </w:tcPr>
          <w:p w:rsidR="00C203B7" w:rsidRPr="002952AA" w:rsidRDefault="00C203B7" w:rsidP="00C203B7">
            <w:r>
              <w:t>5,7%</w:t>
            </w:r>
          </w:p>
        </w:tc>
        <w:tc>
          <w:tcPr>
            <w:tcW w:w="1404" w:type="dxa"/>
            <w:tcBorders>
              <w:top w:val="single" w:sz="4" w:space="0" w:color="auto"/>
              <w:bottom w:val="single" w:sz="4" w:space="0" w:color="auto"/>
              <w:right w:val="nil"/>
            </w:tcBorders>
          </w:tcPr>
          <w:p w:rsidR="00C203B7" w:rsidRPr="002952AA" w:rsidRDefault="00C203B7" w:rsidP="00C203B7">
            <w:pPr>
              <w:pStyle w:val="Default"/>
              <w:rPr>
                <w:rFonts w:ascii="Times New Roman" w:hAnsi="Times New Roman" w:cs="Times New Roman"/>
                <w:sz w:val="22"/>
                <w:szCs w:val="16"/>
              </w:rPr>
            </w:pPr>
            <w:r>
              <w:rPr>
                <w:rFonts w:ascii="Times New Roman" w:hAnsi="Times New Roman" w:cs="Times New Roman"/>
                <w:sz w:val="22"/>
                <w:szCs w:val="16"/>
              </w:rPr>
              <w:t>5,6%</w:t>
            </w:r>
          </w:p>
        </w:tc>
      </w:tr>
    </w:tbl>
    <w:p w:rsidR="00E811AB" w:rsidRDefault="00FD1A99" w:rsidP="00EF35A4">
      <w:pPr>
        <w:ind w:left="447" w:firstLine="993"/>
        <w:jc w:val="both"/>
        <w:rPr>
          <w:i/>
          <w:iCs/>
        </w:rPr>
      </w:pPr>
      <w:r w:rsidRPr="00FD1A99">
        <w:rPr>
          <w:i/>
          <w:iCs/>
        </w:rPr>
        <w:t xml:space="preserve">Source: </w:t>
      </w:r>
      <w:r w:rsidR="00FF4842">
        <w:rPr>
          <w:i/>
          <w:iCs/>
        </w:rPr>
        <w:t xml:space="preserve">MFMA Circular </w:t>
      </w:r>
      <w:r w:rsidR="00491EDC">
        <w:rPr>
          <w:i/>
          <w:iCs/>
        </w:rPr>
        <w:t>86</w:t>
      </w:r>
      <w:r w:rsidR="001E4685">
        <w:rPr>
          <w:i/>
          <w:iCs/>
        </w:rPr>
        <w:tab/>
      </w:r>
    </w:p>
    <w:p w:rsidR="00FE0A36" w:rsidRDefault="00FE0A36" w:rsidP="00EF35A4">
      <w:pPr>
        <w:ind w:left="447" w:firstLine="993"/>
        <w:jc w:val="both"/>
        <w:rPr>
          <w:i/>
          <w:iCs/>
        </w:rPr>
      </w:pPr>
    </w:p>
    <w:p w:rsidR="002B3EBF" w:rsidRDefault="0030624B" w:rsidP="00B937B1">
      <w:pPr>
        <w:ind w:left="1440"/>
        <w:jc w:val="both"/>
        <w:rPr>
          <w:i/>
          <w:iCs/>
        </w:rPr>
      </w:pPr>
      <w:r>
        <w:rPr>
          <w:i/>
          <w:iCs/>
        </w:rPr>
        <w:t xml:space="preserve">NB: The reclining </w:t>
      </w:r>
      <w:r w:rsidR="002B3EBF">
        <w:rPr>
          <w:i/>
          <w:iCs/>
        </w:rPr>
        <w:t>growth</w:t>
      </w:r>
      <w:r>
        <w:rPr>
          <w:i/>
          <w:iCs/>
        </w:rPr>
        <w:t xml:space="preserve"> of the equitable share from National Treasury </w:t>
      </w:r>
      <w:r w:rsidR="00832308">
        <w:rPr>
          <w:i/>
          <w:iCs/>
        </w:rPr>
        <w:t xml:space="preserve">coupled with the increase towards personnel costs </w:t>
      </w:r>
      <w:r w:rsidR="00B937B1">
        <w:rPr>
          <w:i/>
          <w:iCs/>
        </w:rPr>
        <w:t xml:space="preserve">over the last </w:t>
      </w:r>
      <w:r w:rsidR="002B3EBF">
        <w:rPr>
          <w:i/>
          <w:iCs/>
        </w:rPr>
        <w:t>7</w:t>
      </w:r>
      <w:r w:rsidR="00B937B1">
        <w:rPr>
          <w:i/>
          <w:iCs/>
        </w:rPr>
        <w:t xml:space="preserve"> years </w:t>
      </w:r>
      <w:r w:rsidR="002B3EBF">
        <w:rPr>
          <w:i/>
          <w:iCs/>
        </w:rPr>
        <w:t>has had</w:t>
      </w:r>
      <w:r w:rsidR="00B937B1">
        <w:rPr>
          <w:i/>
          <w:iCs/>
        </w:rPr>
        <w:t xml:space="preserve"> a negative impact on the Municipality meeting its short-term obligations </w:t>
      </w:r>
      <w:r w:rsidR="00FE0A36">
        <w:rPr>
          <w:i/>
          <w:iCs/>
        </w:rPr>
        <w:t>toward</w:t>
      </w:r>
      <w:r w:rsidR="00832308">
        <w:rPr>
          <w:i/>
          <w:iCs/>
        </w:rPr>
        <w:t>s the operations and programmes of the District</w:t>
      </w:r>
      <w:r w:rsidR="00FE0A36">
        <w:rPr>
          <w:i/>
          <w:iCs/>
        </w:rPr>
        <w:t>.</w:t>
      </w:r>
    </w:p>
    <w:p w:rsidR="002B3EBF" w:rsidRDefault="002B3EBF" w:rsidP="00B937B1">
      <w:pPr>
        <w:ind w:left="1440"/>
        <w:jc w:val="both"/>
        <w:rPr>
          <w:i/>
          <w:iCs/>
        </w:rPr>
      </w:pPr>
    </w:p>
    <w:p w:rsidR="0030624B" w:rsidRDefault="00861EFC" w:rsidP="00B937B1">
      <w:pPr>
        <w:ind w:left="1440"/>
        <w:jc w:val="both"/>
        <w:rPr>
          <w:i/>
          <w:iCs/>
        </w:rPr>
      </w:pPr>
      <w:r>
        <w:rPr>
          <w:i/>
          <w:iCs/>
        </w:rPr>
        <w:t xml:space="preserve">National Treasury has further introduced a new funding model for district municipalities which has further reduced the municipality’s equitable share allocation for 2017/2018. Effectively, there has only been </w:t>
      </w:r>
      <w:r w:rsidRPr="00226074">
        <w:rPr>
          <w:i/>
          <w:iCs/>
        </w:rPr>
        <w:t>a R</w:t>
      </w:r>
      <w:r w:rsidR="00226074" w:rsidRPr="00226074">
        <w:rPr>
          <w:i/>
          <w:iCs/>
        </w:rPr>
        <w:t>3,897,000or 1,55</w:t>
      </w:r>
      <w:r w:rsidR="005C434E" w:rsidRPr="00226074">
        <w:rPr>
          <w:i/>
          <w:iCs/>
        </w:rPr>
        <w:t>% growth from 2016/2017 to 2017/2018.</w:t>
      </w:r>
    </w:p>
    <w:p w:rsidR="001E4685" w:rsidRPr="00E52FB8" w:rsidRDefault="001E4685" w:rsidP="00E811AB">
      <w:pPr>
        <w:ind w:left="-993" w:firstLine="993"/>
        <w:jc w:val="both"/>
        <w:rPr>
          <w:iCs/>
        </w:rPr>
      </w:pPr>
      <w:r>
        <w:rPr>
          <w:i/>
          <w:iCs/>
        </w:rPr>
        <w:tab/>
      </w:r>
      <w:r>
        <w:rPr>
          <w:i/>
          <w:iCs/>
        </w:rPr>
        <w:tab/>
      </w:r>
      <w:r>
        <w:rPr>
          <w:i/>
          <w:iCs/>
        </w:rPr>
        <w:tab/>
      </w:r>
    </w:p>
    <w:p w:rsidR="0010763E" w:rsidRDefault="002A2BD7" w:rsidP="00873587">
      <w:pPr>
        <w:jc w:val="both"/>
        <w:rPr>
          <w:u w:val="single"/>
        </w:rPr>
      </w:pPr>
      <w:r>
        <w:tab/>
        <w:t>2.</w:t>
      </w:r>
      <w:r>
        <w:tab/>
      </w:r>
      <w:r w:rsidR="0010763E">
        <w:rPr>
          <w:u w:val="single"/>
        </w:rPr>
        <w:t>Transfers to Municipalities</w:t>
      </w:r>
    </w:p>
    <w:p w:rsidR="0010763E" w:rsidRDefault="0010763E" w:rsidP="00C2409F">
      <w:pPr>
        <w:ind w:left="720"/>
        <w:jc w:val="both"/>
      </w:pPr>
    </w:p>
    <w:p w:rsidR="0010763E" w:rsidRDefault="0010763E" w:rsidP="00533A6E">
      <w:pPr>
        <w:ind w:left="1418"/>
        <w:jc w:val="both"/>
      </w:pPr>
      <w:r>
        <w:t>Section 214 of the Constitution provides for national government to transfer resources to municipalities in terms of the Division of Revenue Act (DoRA) to assist them in exercising their powers and performing their functions. Transfers to municipalities from national government are supplemented with transfers from provincial government. The two spheres of government must gazette these allocations as part of the budget im</w:t>
      </w:r>
      <w:r w:rsidR="006D61C7">
        <w:t>plementation process. The DoRA and Section 37 of the MFMA</w:t>
      </w:r>
      <w:r>
        <w:t xml:space="preserve"> further requires transfers between district and local municipalities to be made transparent and reflected in the budgets of both transferring and receiving municipalities.</w:t>
      </w:r>
    </w:p>
    <w:p w:rsidR="007D3A35" w:rsidRDefault="007D3A35" w:rsidP="00533A6E">
      <w:pPr>
        <w:ind w:left="1418"/>
        <w:jc w:val="both"/>
      </w:pPr>
    </w:p>
    <w:p w:rsidR="007D3A35" w:rsidRDefault="007D3A35" w:rsidP="00533A6E">
      <w:pPr>
        <w:ind w:left="1418"/>
        <w:jc w:val="both"/>
      </w:pPr>
    </w:p>
    <w:p w:rsidR="0010763E" w:rsidRDefault="0010763E" w:rsidP="00533A6E">
      <w:pPr>
        <w:ind w:left="1418"/>
        <w:jc w:val="both"/>
      </w:pPr>
    </w:p>
    <w:p w:rsidR="00ED10D4" w:rsidRDefault="00ED10D4" w:rsidP="00533A6E">
      <w:pPr>
        <w:ind w:left="1418"/>
        <w:jc w:val="both"/>
      </w:pPr>
    </w:p>
    <w:tbl>
      <w:tblPr>
        <w:tblpPr w:leftFromText="180" w:rightFromText="180" w:vertAnchor="text" w:horzAnchor="margin" w:tblpXSpec="center" w:tblpY="119"/>
        <w:tblW w:w="10831" w:type="dxa"/>
        <w:tblLook w:val="00A0" w:firstRow="1" w:lastRow="0" w:firstColumn="1" w:lastColumn="0" w:noHBand="0" w:noVBand="0"/>
      </w:tblPr>
      <w:tblGrid>
        <w:gridCol w:w="6032"/>
        <w:gridCol w:w="1554"/>
        <w:gridCol w:w="1552"/>
        <w:gridCol w:w="1693"/>
      </w:tblGrid>
      <w:tr w:rsidR="0010763E" w:rsidRPr="009F408C">
        <w:trPr>
          <w:trHeight w:val="548"/>
        </w:trPr>
        <w:tc>
          <w:tcPr>
            <w:tcW w:w="6032" w:type="dxa"/>
            <w:tcBorders>
              <w:top w:val="single" w:sz="8" w:space="0" w:color="auto"/>
              <w:left w:val="nil"/>
              <w:bottom w:val="single" w:sz="8" w:space="0" w:color="auto"/>
              <w:right w:val="single" w:sz="4" w:space="0" w:color="auto"/>
            </w:tcBorders>
            <w:noWrap/>
            <w:vAlign w:val="center"/>
          </w:tcPr>
          <w:p w:rsidR="00EF35A4" w:rsidRDefault="00D1754F" w:rsidP="00465FFF">
            <w:pPr>
              <w:jc w:val="center"/>
              <w:rPr>
                <w:b/>
                <w:bCs/>
                <w:i/>
                <w:iCs/>
                <w:color w:val="000000"/>
                <w:sz w:val="22"/>
                <w:szCs w:val="22"/>
                <w:lang w:val="en-US"/>
              </w:rPr>
            </w:pPr>
            <w:r>
              <w:rPr>
                <w:b/>
                <w:bCs/>
                <w:i/>
                <w:iCs/>
                <w:color w:val="000000"/>
                <w:sz w:val="22"/>
                <w:szCs w:val="22"/>
                <w:lang w:val="en-US"/>
              </w:rPr>
              <w:lastRenderedPageBreak/>
              <w:t xml:space="preserve">National </w:t>
            </w:r>
            <w:r w:rsidR="0010763E" w:rsidRPr="009F408C">
              <w:rPr>
                <w:b/>
                <w:bCs/>
                <w:i/>
                <w:iCs/>
                <w:color w:val="000000"/>
                <w:sz w:val="22"/>
                <w:szCs w:val="22"/>
                <w:lang w:val="en-US"/>
              </w:rPr>
              <w:t xml:space="preserve">Allocation as per DORA Bill, </w:t>
            </w:r>
          </w:p>
          <w:p w:rsidR="0010763E" w:rsidRPr="009F408C" w:rsidRDefault="005C434E" w:rsidP="007A4A33">
            <w:pPr>
              <w:jc w:val="center"/>
              <w:rPr>
                <w:b/>
                <w:bCs/>
                <w:i/>
                <w:iCs/>
                <w:color w:val="000000"/>
                <w:lang w:val="en-US"/>
              </w:rPr>
            </w:pPr>
            <w:r w:rsidRPr="005C434E">
              <w:rPr>
                <w:i/>
                <w:iCs/>
                <w:color w:val="231F20"/>
                <w:sz w:val="20"/>
                <w:szCs w:val="20"/>
                <w:lang w:val="en-ZA"/>
              </w:rPr>
              <w:t>Government Gazette No. 40610 of 10 February 2017</w:t>
            </w:r>
          </w:p>
        </w:tc>
        <w:tc>
          <w:tcPr>
            <w:tcW w:w="1554" w:type="dxa"/>
            <w:tcBorders>
              <w:top w:val="single" w:sz="8" w:space="0" w:color="auto"/>
              <w:left w:val="nil"/>
              <w:bottom w:val="single" w:sz="8" w:space="0" w:color="auto"/>
              <w:right w:val="single" w:sz="4" w:space="0" w:color="auto"/>
            </w:tcBorders>
            <w:vAlign w:val="center"/>
          </w:tcPr>
          <w:p w:rsidR="0010763E" w:rsidRDefault="005C434E" w:rsidP="009F408C">
            <w:pPr>
              <w:jc w:val="center"/>
              <w:rPr>
                <w:b/>
                <w:bCs/>
                <w:color w:val="000000"/>
                <w:lang w:val="en-US"/>
              </w:rPr>
            </w:pPr>
            <w:r w:rsidRPr="009F408C">
              <w:rPr>
                <w:b/>
                <w:bCs/>
                <w:color w:val="000000"/>
                <w:sz w:val="22"/>
                <w:szCs w:val="22"/>
                <w:lang w:val="en-US"/>
              </w:rPr>
              <w:t>201</w:t>
            </w:r>
            <w:r>
              <w:rPr>
                <w:b/>
                <w:bCs/>
                <w:color w:val="000000"/>
                <w:sz w:val="22"/>
                <w:szCs w:val="22"/>
                <w:lang w:val="en-US"/>
              </w:rPr>
              <w:t>7</w:t>
            </w:r>
            <w:r w:rsidRPr="009F408C">
              <w:rPr>
                <w:b/>
                <w:bCs/>
                <w:color w:val="000000"/>
                <w:sz w:val="22"/>
                <w:szCs w:val="22"/>
                <w:lang w:val="en-US"/>
              </w:rPr>
              <w:t>/201</w:t>
            </w:r>
            <w:r>
              <w:rPr>
                <w:b/>
                <w:bCs/>
                <w:color w:val="000000"/>
                <w:sz w:val="22"/>
                <w:szCs w:val="22"/>
                <w:lang w:val="en-US"/>
              </w:rPr>
              <w:t>8</w:t>
            </w:r>
            <w:r w:rsidRPr="009F408C">
              <w:rPr>
                <w:b/>
                <w:bCs/>
                <w:color w:val="000000"/>
                <w:sz w:val="22"/>
                <w:szCs w:val="22"/>
                <w:lang w:val="en-US"/>
              </w:rPr>
              <w:br/>
            </w:r>
            <w:r w:rsidR="0010763E" w:rsidRPr="009F408C">
              <w:rPr>
                <w:b/>
                <w:bCs/>
                <w:color w:val="000000"/>
                <w:sz w:val="22"/>
                <w:szCs w:val="22"/>
                <w:lang w:val="en-US"/>
              </w:rPr>
              <w:t>Allocation</w:t>
            </w:r>
          </w:p>
          <w:p w:rsidR="0010763E" w:rsidRDefault="0010763E" w:rsidP="009F408C">
            <w:pPr>
              <w:jc w:val="center"/>
              <w:rPr>
                <w:b/>
                <w:bCs/>
                <w:color w:val="000000"/>
                <w:lang w:val="en-US"/>
              </w:rPr>
            </w:pPr>
          </w:p>
          <w:p w:rsidR="0010763E" w:rsidRPr="009F408C" w:rsidRDefault="0010763E" w:rsidP="009F408C">
            <w:pPr>
              <w:jc w:val="center"/>
              <w:rPr>
                <w:b/>
                <w:bCs/>
                <w:color w:val="000000"/>
                <w:lang w:val="en-US"/>
              </w:rPr>
            </w:pPr>
            <w:r>
              <w:rPr>
                <w:b/>
                <w:bCs/>
                <w:color w:val="000000"/>
                <w:sz w:val="22"/>
                <w:szCs w:val="22"/>
                <w:lang w:val="en-US"/>
              </w:rPr>
              <w:t>R’000</w:t>
            </w:r>
          </w:p>
        </w:tc>
        <w:tc>
          <w:tcPr>
            <w:tcW w:w="1552" w:type="dxa"/>
            <w:tcBorders>
              <w:top w:val="single" w:sz="8" w:space="0" w:color="auto"/>
              <w:left w:val="nil"/>
              <w:bottom w:val="single" w:sz="8" w:space="0" w:color="auto"/>
              <w:right w:val="single" w:sz="4" w:space="0" w:color="auto"/>
            </w:tcBorders>
            <w:vAlign w:val="center"/>
          </w:tcPr>
          <w:p w:rsidR="005C434E" w:rsidRDefault="005C434E" w:rsidP="005C434E">
            <w:pPr>
              <w:jc w:val="center"/>
              <w:rPr>
                <w:b/>
                <w:bCs/>
                <w:color w:val="000000"/>
                <w:sz w:val="22"/>
                <w:szCs w:val="22"/>
                <w:lang w:val="en-US"/>
              </w:rPr>
            </w:pPr>
            <w:r w:rsidRPr="009F408C">
              <w:rPr>
                <w:b/>
                <w:bCs/>
                <w:color w:val="000000"/>
                <w:sz w:val="22"/>
                <w:szCs w:val="22"/>
                <w:lang w:val="en-US"/>
              </w:rPr>
              <w:t>201</w:t>
            </w:r>
            <w:r>
              <w:rPr>
                <w:b/>
                <w:bCs/>
                <w:color w:val="000000"/>
                <w:sz w:val="22"/>
                <w:szCs w:val="22"/>
                <w:lang w:val="en-US"/>
              </w:rPr>
              <w:t>8</w:t>
            </w:r>
            <w:r w:rsidRPr="009F408C">
              <w:rPr>
                <w:b/>
                <w:bCs/>
                <w:color w:val="000000"/>
                <w:sz w:val="22"/>
                <w:szCs w:val="22"/>
                <w:lang w:val="en-US"/>
              </w:rPr>
              <w:t>/201</w:t>
            </w:r>
            <w:r>
              <w:rPr>
                <w:b/>
                <w:bCs/>
                <w:color w:val="000000"/>
                <w:sz w:val="22"/>
                <w:szCs w:val="22"/>
                <w:lang w:val="en-US"/>
              </w:rPr>
              <w:t>9</w:t>
            </w:r>
          </w:p>
          <w:p w:rsidR="0010763E" w:rsidRDefault="0010763E" w:rsidP="009F408C">
            <w:pPr>
              <w:jc w:val="center"/>
              <w:rPr>
                <w:b/>
                <w:bCs/>
                <w:color w:val="000000"/>
                <w:lang w:val="en-US"/>
              </w:rPr>
            </w:pPr>
            <w:r w:rsidRPr="009F408C">
              <w:rPr>
                <w:b/>
                <w:bCs/>
                <w:color w:val="000000"/>
                <w:sz w:val="22"/>
                <w:szCs w:val="22"/>
                <w:lang w:val="en-US"/>
              </w:rPr>
              <w:t>Forward Estimate</w:t>
            </w:r>
          </w:p>
          <w:p w:rsidR="0010763E" w:rsidRPr="009F408C" w:rsidRDefault="0010763E" w:rsidP="009F408C">
            <w:pPr>
              <w:jc w:val="center"/>
              <w:rPr>
                <w:b/>
                <w:bCs/>
                <w:color w:val="000000"/>
                <w:lang w:val="en-US"/>
              </w:rPr>
            </w:pPr>
            <w:r>
              <w:rPr>
                <w:b/>
                <w:bCs/>
                <w:color w:val="000000"/>
                <w:sz w:val="22"/>
                <w:szCs w:val="22"/>
                <w:lang w:val="en-US"/>
              </w:rPr>
              <w:t>R’000</w:t>
            </w:r>
          </w:p>
        </w:tc>
        <w:tc>
          <w:tcPr>
            <w:tcW w:w="1693" w:type="dxa"/>
            <w:tcBorders>
              <w:top w:val="single" w:sz="8" w:space="0" w:color="auto"/>
              <w:left w:val="nil"/>
              <w:bottom w:val="single" w:sz="8" w:space="0" w:color="auto"/>
              <w:right w:val="nil"/>
            </w:tcBorders>
            <w:vAlign w:val="center"/>
          </w:tcPr>
          <w:p w:rsidR="0010763E" w:rsidRDefault="005C434E" w:rsidP="009F408C">
            <w:pPr>
              <w:jc w:val="center"/>
              <w:rPr>
                <w:b/>
                <w:bCs/>
                <w:color w:val="000000"/>
                <w:lang w:val="en-US"/>
              </w:rPr>
            </w:pPr>
            <w:r>
              <w:rPr>
                <w:b/>
                <w:bCs/>
                <w:color w:val="000000"/>
                <w:sz w:val="22"/>
                <w:szCs w:val="22"/>
                <w:lang w:val="en-US"/>
              </w:rPr>
              <w:t>2019/2020</w:t>
            </w:r>
            <w:r w:rsidR="0010763E" w:rsidRPr="009F408C">
              <w:rPr>
                <w:b/>
                <w:bCs/>
                <w:color w:val="000000"/>
                <w:sz w:val="22"/>
                <w:szCs w:val="22"/>
                <w:lang w:val="en-US"/>
              </w:rPr>
              <w:br/>
              <w:t>Forward Estimate</w:t>
            </w:r>
          </w:p>
          <w:p w:rsidR="0010763E" w:rsidRPr="009F408C" w:rsidRDefault="0010763E" w:rsidP="009F408C">
            <w:pPr>
              <w:jc w:val="center"/>
              <w:rPr>
                <w:b/>
                <w:bCs/>
                <w:color w:val="000000"/>
                <w:lang w:val="en-US"/>
              </w:rPr>
            </w:pPr>
            <w:r>
              <w:rPr>
                <w:b/>
                <w:bCs/>
                <w:color w:val="000000"/>
                <w:sz w:val="22"/>
                <w:szCs w:val="22"/>
                <w:lang w:val="en-US"/>
              </w:rPr>
              <w:t>R’000</w:t>
            </w:r>
          </w:p>
        </w:tc>
      </w:tr>
      <w:tr w:rsidR="0010763E" w:rsidRPr="009F408C">
        <w:trPr>
          <w:trHeight w:val="282"/>
        </w:trPr>
        <w:tc>
          <w:tcPr>
            <w:tcW w:w="6032" w:type="dxa"/>
            <w:tcBorders>
              <w:top w:val="nil"/>
              <w:left w:val="nil"/>
              <w:bottom w:val="nil"/>
              <w:right w:val="single" w:sz="4" w:space="0" w:color="auto"/>
            </w:tcBorders>
            <w:noWrap/>
            <w:vAlign w:val="bottom"/>
          </w:tcPr>
          <w:p w:rsidR="0010763E" w:rsidRPr="009F408C" w:rsidRDefault="00ED4E69" w:rsidP="009F408C">
            <w:pPr>
              <w:rPr>
                <w:color w:val="000000"/>
                <w:lang w:val="en-US"/>
              </w:rPr>
            </w:pPr>
            <w:r w:rsidRPr="009F408C">
              <w:rPr>
                <w:color w:val="000000"/>
                <w:sz w:val="22"/>
                <w:szCs w:val="22"/>
                <w:lang w:val="en-US"/>
              </w:rPr>
              <w:t>Equitable Share</w:t>
            </w:r>
          </w:p>
        </w:tc>
        <w:tc>
          <w:tcPr>
            <w:tcW w:w="1554" w:type="dxa"/>
            <w:tcBorders>
              <w:top w:val="nil"/>
              <w:left w:val="nil"/>
              <w:bottom w:val="nil"/>
              <w:right w:val="single" w:sz="4" w:space="0" w:color="auto"/>
            </w:tcBorders>
            <w:noWrap/>
            <w:vAlign w:val="bottom"/>
          </w:tcPr>
          <w:p w:rsidR="0010763E" w:rsidRPr="009F408C" w:rsidRDefault="005C434E" w:rsidP="0096255F">
            <w:pPr>
              <w:jc w:val="right"/>
              <w:rPr>
                <w:color w:val="000000"/>
                <w:lang w:val="en-US"/>
              </w:rPr>
            </w:pPr>
            <w:r>
              <w:rPr>
                <w:color w:val="000000"/>
                <w:sz w:val="22"/>
                <w:szCs w:val="22"/>
                <w:lang w:val="en-US"/>
              </w:rPr>
              <w:t>254,779</w:t>
            </w:r>
          </w:p>
        </w:tc>
        <w:tc>
          <w:tcPr>
            <w:tcW w:w="1552" w:type="dxa"/>
            <w:tcBorders>
              <w:top w:val="nil"/>
              <w:left w:val="nil"/>
              <w:bottom w:val="nil"/>
              <w:right w:val="single" w:sz="4" w:space="0" w:color="auto"/>
            </w:tcBorders>
            <w:noWrap/>
            <w:vAlign w:val="bottom"/>
          </w:tcPr>
          <w:p w:rsidR="0010763E" w:rsidRPr="009F408C" w:rsidRDefault="005C434E" w:rsidP="009F408C">
            <w:pPr>
              <w:jc w:val="right"/>
              <w:rPr>
                <w:color w:val="000000"/>
                <w:lang w:val="en-US"/>
              </w:rPr>
            </w:pPr>
            <w:r>
              <w:rPr>
                <w:color w:val="000000"/>
                <w:sz w:val="22"/>
                <w:szCs w:val="22"/>
                <w:lang w:val="en-US"/>
              </w:rPr>
              <w:t>258,764</w:t>
            </w:r>
          </w:p>
        </w:tc>
        <w:tc>
          <w:tcPr>
            <w:tcW w:w="1693" w:type="dxa"/>
            <w:tcBorders>
              <w:top w:val="nil"/>
              <w:left w:val="nil"/>
              <w:bottom w:val="nil"/>
              <w:right w:val="nil"/>
            </w:tcBorders>
            <w:noWrap/>
            <w:vAlign w:val="bottom"/>
          </w:tcPr>
          <w:p w:rsidR="0010763E" w:rsidRPr="009F408C" w:rsidRDefault="00E74C27" w:rsidP="009F408C">
            <w:pPr>
              <w:jc w:val="right"/>
              <w:rPr>
                <w:color w:val="000000"/>
                <w:lang w:val="en-US"/>
              </w:rPr>
            </w:pPr>
            <w:r>
              <w:rPr>
                <w:color w:val="000000"/>
                <w:sz w:val="22"/>
                <w:szCs w:val="22"/>
                <w:lang w:val="en-US"/>
              </w:rPr>
              <w:t>266</w:t>
            </w:r>
            <w:r w:rsidR="00DD18B4">
              <w:rPr>
                <w:color w:val="000000"/>
                <w:sz w:val="22"/>
                <w:szCs w:val="22"/>
                <w:lang w:val="en-US"/>
              </w:rPr>
              <w:t>,</w:t>
            </w:r>
            <w:r>
              <w:rPr>
                <w:color w:val="000000"/>
                <w:sz w:val="22"/>
                <w:szCs w:val="22"/>
                <w:lang w:val="en-US"/>
              </w:rPr>
              <w:t>791</w:t>
            </w:r>
          </w:p>
        </w:tc>
      </w:tr>
      <w:tr w:rsidR="0010763E" w:rsidRPr="009F408C">
        <w:trPr>
          <w:trHeight w:val="274"/>
        </w:trPr>
        <w:tc>
          <w:tcPr>
            <w:tcW w:w="6032" w:type="dxa"/>
            <w:tcBorders>
              <w:top w:val="nil"/>
              <w:left w:val="nil"/>
              <w:bottom w:val="nil"/>
              <w:right w:val="single" w:sz="4" w:space="0" w:color="auto"/>
            </w:tcBorders>
            <w:noWrap/>
            <w:vAlign w:val="bottom"/>
          </w:tcPr>
          <w:p w:rsidR="0010763E" w:rsidRPr="009F408C" w:rsidRDefault="0010763E" w:rsidP="009F408C">
            <w:pPr>
              <w:rPr>
                <w:color w:val="000000"/>
                <w:lang w:val="en-US"/>
              </w:rPr>
            </w:pPr>
            <w:r w:rsidRPr="009F408C">
              <w:rPr>
                <w:color w:val="000000"/>
                <w:sz w:val="22"/>
                <w:szCs w:val="22"/>
                <w:lang w:val="en-US"/>
              </w:rPr>
              <w:t>Local Government Financial Management Grant</w:t>
            </w:r>
          </w:p>
        </w:tc>
        <w:tc>
          <w:tcPr>
            <w:tcW w:w="1554" w:type="dxa"/>
            <w:tcBorders>
              <w:top w:val="nil"/>
              <w:left w:val="nil"/>
              <w:bottom w:val="nil"/>
              <w:right w:val="single" w:sz="4" w:space="0" w:color="auto"/>
            </w:tcBorders>
            <w:noWrap/>
            <w:vAlign w:val="bottom"/>
          </w:tcPr>
          <w:p w:rsidR="0010763E" w:rsidRPr="009F408C" w:rsidRDefault="0010763E" w:rsidP="00D06CFF">
            <w:pPr>
              <w:jc w:val="right"/>
              <w:rPr>
                <w:color w:val="000000"/>
                <w:lang w:val="en-US"/>
              </w:rPr>
            </w:pPr>
            <w:r w:rsidRPr="009F408C">
              <w:rPr>
                <w:color w:val="000000"/>
                <w:sz w:val="22"/>
                <w:szCs w:val="22"/>
                <w:lang w:val="en-US"/>
              </w:rPr>
              <w:t>1,</w:t>
            </w:r>
            <w:r>
              <w:rPr>
                <w:color w:val="000000"/>
                <w:sz w:val="22"/>
                <w:szCs w:val="22"/>
                <w:lang w:val="en-US"/>
              </w:rPr>
              <w:t>25</w:t>
            </w:r>
            <w:r w:rsidRPr="009F408C">
              <w:rPr>
                <w:color w:val="000000"/>
                <w:sz w:val="22"/>
                <w:szCs w:val="22"/>
                <w:lang w:val="en-US"/>
              </w:rPr>
              <w:t xml:space="preserve">0 </w:t>
            </w:r>
          </w:p>
        </w:tc>
        <w:tc>
          <w:tcPr>
            <w:tcW w:w="1552" w:type="dxa"/>
            <w:tcBorders>
              <w:top w:val="nil"/>
              <w:left w:val="nil"/>
              <w:bottom w:val="nil"/>
              <w:right w:val="single" w:sz="4" w:space="0" w:color="auto"/>
            </w:tcBorders>
            <w:noWrap/>
            <w:vAlign w:val="bottom"/>
          </w:tcPr>
          <w:p w:rsidR="0010763E" w:rsidRPr="009F408C" w:rsidRDefault="0010763E" w:rsidP="009F408C">
            <w:pPr>
              <w:jc w:val="right"/>
              <w:rPr>
                <w:color w:val="000000"/>
                <w:lang w:val="en-US"/>
              </w:rPr>
            </w:pPr>
            <w:r w:rsidRPr="009F408C">
              <w:rPr>
                <w:color w:val="000000"/>
                <w:sz w:val="22"/>
                <w:szCs w:val="22"/>
                <w:lang w:val="en-US"/>
              </w:rPr>
              <w:t xml:space="preserve">1,250 </w:t>
            </w:r>
          </w:p>
        </w:tc>
        <w:tc>
          <w:tcPr>
            <w:tcW w:w="1693" w:type="dxa"/>
            <w:tcBorders>
              <w:top w:val="nil"/>
              <w:left w:val="nil"/>
              <w:bottom w:val="nil"/>
              <w:right w:val="nil"/>
            </w:tcBorders>
            <w:noWrap/>
            <w:vAlign w:val="bottom"/>
          </w:tcPr>
          <w:p w:rsidR="0010763E" w:rsidRPr="009F408C" w:rsidRDefault="0010763E" w:rsidP="002A7F17">
            <w:pPr>
              <w:jc w:val="right"/>
              <w:rPr>
                <w:color w:val="000000"/>
                <w:lang w:val="en-US"/>
              </w:rPr>
            </w:pPr>
            <w:r w:rsidRPr="009F408C">
              <w:rPr>
                <w:color w:val="000000"/>
                <w:sz w:val="22"/>
                <w:szCs w:val="22"/>
                <w:lang w:val="en-US"/>
              </w:rPr>
              <w:t>1,</w:t>
            </w:r>
            <w:r w:rsidR="002A7F17">
              <w:rPr>
                <w:color w:val="000000"/>
                <w:sz w:val="22"/>
                <w:szCs w:val="22"/>
                <w:lang w:val="en-US"/>
              </w:rPr>
              <w:t>250</w:t>
            </w:r>
          </w:p>
        </w:tc>
      </w:tr>
      <w:tr w:rsidR="0010763E" w:rsidRPr="009F408C">
        <w:trPr>
          <w:trHeight w:val="268"/>
        </w:trPr>
        <w:tc>
          <w:tcPr>
            <w:tcW w:w="6032" w:type="dxa"/>
            <w:tcBorders>
              <w:top w:val="nil"/>
              <w:left w:val="nil"/>
              <w:right w:val="single" w:sz="4" w:space="0" w:color="auto"/>
            </w:tcBorders>
            <w:noWrap/>
            <w:vAlign w:val="bottom"/>
          </w:tcPr>
          <w:p w:rsidR="0010763E" w:rsidRPr="009F408C" w:rsidRDefault="0010763E" w:rsidP="009F408C">
            <w:pPr>
              <w:rPr>
                <w:color w:val="000000"/>
                <w:lang w:val="en-US"/>
              </w:rPr>
            </w:pPr>
            <w:r w:rsidRPr="009F408C">
              <w:rPr>
                <w:color w:val="000000"/>
                <w:sz w:val="22"/>
                <w:szCs w:val="22"/>
                <w:lang w:val="en-US"/>
              </w:rPr>
              <w:t>Municipal Systems Improvement Grant</w:t>
            </w:r>
          </w:p>
        </w:tc>
        <w:tc>
          <w:tcPr>
            <w:tcW w:w="1554" w:type="dxa"/>
            <w:tcBorders>
              <w:top w:val="nil"/>
              <w:left w:val="nil"/>
              <w:right w:val="single" w:sz="4" w:space="0" w:color="auto"/>
            </w:tcBorders>
            <w:noWrap/>
            <w:vAlign w:val="bottom"/>
          </w:tcPr>
          <w:p w:rsidR="0010763E" w:rsidRPr="009F408C" w:rsidRDefault="00BD579D" w:rsidP="002A7F17">
            <w:pPr>
              <w:jc w:val="right"/>
              <w:rPr>
                <w:color w:val="000000"/>
                <w:lang w:val="en-US"/>
              </w:rPr>
            </w:pPr>
            <w:r>
              <w:rPr>
                <w:color w:val="000000"/>
                <w:sz w:val="22"/>
                <w:szCs w:val="22"/>
                <w:lang w:val="en-US"/>
              </w:rPr>
              <w:t>0</w:t>
            </w:r>
          </w:p>
        </w:tc>
        <w:tc>
          <w:tcPr>
            <w:tcW w:w="1552" w:type="dxa"/>
            <w:tcBorders>
              <w:top w:val="nil"/>
              <w:left w:val="nil"/>
              <w:right w:val="single" w:sz="4" w:space="0" w:color="auto"/>
            </w:tcBorders>
            <w:noWrap/>
            <w:vAlign w:val="bottom"/>
          </w:tcPr>
          <w:p w:rsidR="0010763E" w:rsidRPr="009F408C" w:rsidRDefault="00E74C27" w:rsidP="002A7F17">
            <w:pPr>
              <w:jc w:val="right"/>
              <w:rPr>
                <w:color w:val="000000"/>
                <w:lang w:val="en-US"/>
              </w:rPr>
            </w:pPr>
            <w:r>
              <w:rPr>
                <w:color w:val="000000"/>
                <w:sz w:val="22"/>
                <w:szCs w:val="22"/>
                <w:lang w:val="en-US"/>
              </w:rPr>
              <w:t>3,123</w:t>
            </w:r>
          </w:p>
        </w:tc>
        <w:tc>
          <w:tcPr>
            <w:tcW w:w="1693" w:type="dxa"/>
            <w:tcBorders>
              <w:top w:val="nil"/>
              <w:left w:val="nil"/>
              <w:right w:val="nil"/>
            </w:tcBorders>
            <w:noWrap/>
            <w:vAlign w:val="bottom"/>
          </w:tcPr>
          <w:p w:rsidR="0010763E" w:rsidRPr="009F408C" w:rsidRDefault="00E74C27" w:rsidP="009F408C">
            <w:pPr>
              <w:jc w:val="right"/>
              <w:rPr>
                <w:color w:val="000000"/>
                <w:lang w:val="en-US"/>
              </w:rPr>
            </w:pPr>
            <w:r>
              <w:rPr>
                <w:color w:val="000000"/>
                <w:sz w:val="22"/>
                <w:szCs w:val="22"/>
                <w:lang w:val="en-US"/>
              </w:rPr>
              <w:t>0</w:t>
            </w:r>
          </w:p>
        </w:tc>
      </w:tr>
      <w:tr w:rsidR="00965F53" w:rsidRPr="009F408C">
        <w:trPr>
          <w:trHeight w:val="268"/>
        </w:trPr>
        <w:tc>
          <w:tcPr>
            <w:tcW w:w="6032" w:type="dxa"/>
            <w:tcBorders>
              <w:top w:val="nil"/>
              <w:left w:val="nil"/>
              <w:right w:val="single" w:sz="4" w:space="0" w:color="auto"/>
            </w:tcBorders>
            <w:noWrap/>
            <w:vAlign w:val="bottom"/>
          </w:tcPr>
          <w:p w:rsidR="00965F53" w:rsidRPr="009F408C" w:rsidRDefault="00AB3BF1" w:rsidP="009F408C">
            <w:pPr>
              <w:rPr>
                <w:color w:val="000000"/>
                <w:sz w:val="22"/>
                <w:szCs w:val="22"/>
                <w:lang w:val="en-US"/>
              </w:rPr>
            </w:pPr>
            <w:r>
              <w:rPr>
                <w:color w:val="000000"/>
                <w:sz w:val="22"/>
                <w:szCs w:val="22"/>
                <w:lang w:val="en-US"/>
              </w:rPr>
              <w:t>Extended Public</w:t>
            </w:r>
            <w:r w:rsidR="00482A51">
              <w:rPr>
                <w:color w:val="000000"/>
                <w:sz w:val="22"/>
                <w:szCs w:val="22"/>
                <w:lang w:val="en-US"/>
              </w:rPr>
              <w:t xml:space="preserve"> Works Program</w:t>
            </w:r>
            <w:r>
              <w:rPr>
                <w:color w:val="000000"/>
                <w:sz w:val="22"/>
                <w:szCs w:val="22"/>
                <w:lang w:val="en-US"/>
              </w:rPr>
              <w:t xml:space="preserve"> Integrated Grant</w:t>
            </w:r>
          </w:p>
        </w:tc>
        <w:tc>
          <w:tcPr>
            <w:tcW w:w="1554" w:type="dxa"/>
            <w:tcBorders>
              <w:top w:val="nil"/>
              <w:left w:val="nil"/>
              <w:right w:val="single" w:sz="4" w:space="0" w:color="auto"/>
            </w:tcBorders>
            <w:noWrap/>
            <w:vAlign w:val="bottom"/>
          </w:tcPr>
          <w:p w:rsidR="00965F53" w:rsidRDefault="00E74C27" w:rsidP="009F408C">
            <w:pPr>
              <w:jc w:val="right"/>
              <w:rPr>
                <w:color w:val="000000"/>
                <w:sz w:val="22"/>
                <w:szCs w:val="22"/>
                <w:lang w:val="en-US"/>
              </w:rPr>
            </w:pPr>
            <w:r>
              <w:rPr>
                <w:color w:val="000000"/>
                <w:sz w:val="22"/>
                <w:szCs w:val="22"/>
                <w:lang w:val="en-US"/>
              </w:rPr>
              <w:t>2,490</w:t>
            </w:r>
          </w:p>
        </w:tc>
        <w:tc>
          <w:tcPr>
            <w:tcW w:w="1552" w:type="dxa"/>
            <w:tcBorders>
              <w:top w:val="nil"/>
              <w:left w:val="nil"/>
              <w:right w:val="single" w:sz="4" w:space="0" w:color="auto"/>
            </w:tcBorders>
            <w:noWrap/>
            <w:vAlign w:val="bottom"/>
          </w:tcPr>
          <w:p w:rsidR="00965F53" w:rsidRDefault="00AB3BF1" w:rsidP="009F408C">
            <w:pPr>
              <w:jc w:val="right"/>
              <w:rPr>
                <w:color w:val="000000"/>
                <w:sz w:val="22"/>
                <w:szCs w:val="22"/>
                <w:lang w:val="en-US"/>
              </w:rPr>
            </w:pPr>
            <w:r>
              <w:rPr>
                <w:color w:val="000000"/>
                <w:sz w:val="22"/>
                <w:szCs w:val="22"/>
                <w:lang w:val="en-US"/>
              </w:rPr>
              <w:t>0</w:t>
            </w:r>
          </w:p>
        </w:tc>
        <w:tc>
          <w:tcPr>
            <w:tcW w:w="1693" w:type="dxa"/>
            <w:tcBorders>
              <w:top w:val="nil"/>
              <w:left w:val="nil"/>
              <w:right w:val="nil"/>
            </w:tcBorders>
            <w:noWrap/>
            <w:vAlign w:val="bottom"/>
          </w:tcPr>
          <w:p w:rsidR="00965F53" w:rsidRPr="009F408C" w:rsidRDefault="00AB3BF1" w:rsidP="009F408C">
            <w:pPr>
              <w:jc w:val="right"/>
              <w:rPr>
                <w:color w:val="000000"/>
                <w:sz w:val="22"/>
                <w:szCs w:val="22"/>
                <w:lang w:val="en-US"/>
              </w:rPr>
            </w:pPr>
            <w:r>
              <w:rPr>
                <w:color w:val="000000"/>
                <w:sz w:val="22"/>
                <w:szCs w:val="22"/>
                <w:lang w:val="en-US"/>
              </w:rPr>
              <w:t>0</w:t>
            </w:r>
          </w:p>
        </w:tc>
      </w:tr>
      <w:tr w:rsidR="002A7F17" w:rsidRPr="009F408C" w:rsidTr="00DD18B4">
        <w:trPr>
          <w:trHeight w:val="268"/>
        </w:trPr>
        <w:tc>
          <w:tcPr>
            <w:tcW w:w="6032" w:type="dxa"/>
            <w:tcBorders>
              <w:top w:val="nil"/>
              <w:left w:val="nil"/>
              <w:bottom w:val="single" w:sz="4" w:space="0" w:color="auto"/>
              <w:right w:val="single" w:sz="4" w:space="0" w:color="auto"/>
            </w:tcBorders>
            <w:noWrap/>
            <w:vAlign w:val="bottom"/>
          </w:tcPr>
          <w:p w:rsidR="002A7F17" w:rsidRDefault="00E74C27" w:rsidP="009F408C">
            <w:pPr>
              <w:rPr>
                <w:color w:val="000000"/>
                <w:sz w:val="22"/>
                <w:szCs w:val="22"/>
                <w:lang w:val="en-US"/>
              </w:rPr>
            </w:pPr>
            <w:r w:rsidRPr="00E74C27">
              <w:rPr>
                <w:color w:val="000000"/>
                <w:sz w:val="22"/>
                <w:szCs w:val="22"/>
                <w:lang w:val="en-US"/>
              </w:rPr>
              <w:t>Rural Roads Asset Management Systems Grant</w:t>
            </w:r>
          </w:p>
        </w:tc>
        <w:tc>
          <w:tcPr>
            <w:tcW w:w="1554" w:type="dxa"/>
            <w:tcBorders>
              <w:top w:val="nil"/>
              <w:left w:val="nil"/>
              <w:bottom w:val="single" w:sz="4" w:space="0" w:color="auto"/>
              <w:right w:val="single" w:sz="4" w:space="0" w:color="auto"/>
            </w:tcBorders>
            <w:noWrap/>
            <w:vAlign w:val="bottom"/>
          </w:tcPr>
          <w:p w:rsidR="002A7F17" w:rsidRDefault="00E74C27" w:rsidP="009F408C">
            <w:pPr>
              <w:jc w:val="right"/>
              <w:rPr>
                <w:color w:val="000000"/>
                <w:sz w:val="22"/>
                <w:szCs w:val="22"/>
                <w:lang w:val="en-US"/>
              </w:rPr>
            </w:pPr>
            <w:r>
              <w:rPr>
                <w:color w:val="000000"/>
                <w:sz w:val="22"/>
                <w:szCs w:val="22"/>
                <w:lang w:val="en-US"/>
              </w:rPr>
              <w:t>2,431</w:t>
            </w:r>
          </w:p>
        </w:tc>
        <w:tc>
          <w:tcPr>
            <w:tcW w:w="1552" w:type="dxa"/>
            <w:tcBorders>
              <w:top w:val="nil"/>
              <w:left w:val="nil"/>
              <w:bottom w:val="single" w:sz="4" w:space="0" w:color="auto"/>
              <w:right w:val="single" w:sz="4" w:space="0" w:color="auto"/>
            </w:tcBorders>
            <w:noWrap/>
            <w:vAlign w:val="bottom"/>
          </w:tcPr>
          <w:p w:rsidR="002A7F17" w:rsidRDefault="003E3795" w:rsidP="009F408C">
            <w:pPr>
              <w:jc w:val="right"/>
              <w:rPr>
                <w:color w:val="000000"/>
                <w:sz w:val="22"/>
                <w:szCs w:val="22"/>
                <w:lang w:val="en-US"/>
              </w:rPr>
            </w:pPr>
            <w:r>
              <w:rPr>
                <w:color w:val="000000"/>
                <w:sz w:val="22"/>
                <w:szCs w:val="22"/>
                <w:lang w:val="en-US"/>
              </w:rPr>
              <w:t>2</w:t>
            </w:r>
            <w:r w:rsidR="00E74C27">
              <w:rPr>
                <w:color w:val="000000"/>
                <w:sz w:val="22"/>
                <w:szCs w:val="22"/>
                <w:lang w:val="en-US"/>
              </w:rPr>
              <w:t>,560</w:t>
            </w:r>
          </w:p>
        </w:tc>
        <w:tc>
          <w:tcPr>
            <w:tcW w:w="1693" w:type="dxa"/>
            <w:tcBorders>
              <w:top w:val="nil"/>
              <w:left w:val="nil"/>
              <w:bottom w:val="single" w:sz="4" w:space="0" w:color="auto"/>
              <w:right w:val="nil"/>
            </w:tcBorders>
            <w:noWrap/>
            <w:vAlign w:val="bottom"/>
          </w:tcPr>
          <w:p w:rsidR="002A7F17" w:rsidRDefault="00E74C27" w:rsidP="009F408C">
            <w:pPr>
              <w:jc w:val="right"/>
              <w:rPr>
                <w:color w:val="000000"/>
                <w:sz w:val="22"/>
                <w:szCs w:val="22"/>
                <w:lang w:val="en-US"/>
              </w:rPr>
            </w:pPr>
            <w:r>
              <w:rPr>
                <w:color w:val="000000"/>
                <w:sz w:val="22"/>
                <w:szCs w:val="22"/>
                <w:lang w:val="en-US"/>
              </w:rPr>
              <w:t>2,703</w:t>
            </w:r>
          </w:p>
        </w:tc>
      </w:tr>
      <w:tr w:rsidR="00E74C27" w:rsidRPr="009F408C" w:rsidTr="00DD18B4">
        <w:trPr>
          <w:trHeight w:val="268"/>
        </w:trPr>
        <w:tc>
          <w:tcPr>
            <w:tcW w:w="6032" w:type="dxa"/>
            <w:tcBorders>
              <w:top w:val="single" w:sz="4" w:space="0" w:color="auto"/>
              <w:left w:val="nil"/>
              <w:right w:val="single" w:sz="4" w:space="0" w:color="auto"/>
            </w:tcBorders>
            <w:noWrap/>
            <w:vAlign w:val="bottom"/>
          </w:tcPr>
          <w:p w:rsidR="00E74C27" w:rsidRPr="00ED4E69" w:rsidRDefault="00E74C27" w:rsidP="009F408C">
            <w:pPr>
              <w:rPr>
                <w:b/>
                <w:color w:val="000000"/>
                <w:sz w:val="22"/>
                <w:szCs w:val="22"/>
                <w:lang w:val="en-US"/>
              </w:rPr>
            </w:pPr>
            <w:r w:rsidRPr="00ED4E69">
              <w:rPr>
                <w:b/>
                <w:color w:val="000000"/>
                <w:sz w:val="22"/>
                <w:szCs w:val="22"/>
                <w:lang w:val="en-US"/>
              </w:rPr>
              <w:t>TOTAL ALLOCATION</w:t>
            </w:r>
            <w:r w:rsidR="00DD18B4" w:rsidRPr="00ED4E69">
              <w:rPr>
                <w:b/>
                <w:color w:val="000000"/>
                <w:sz w:val="22"/>
                <w:szCs w:val="22"/>
                <w:lang w:val="en-US"/>
              </w:rPr>
              <w:t xml:space="preserve"> GAZETTED</w:t>
            </w:r>
          </w:p>
        </w:tc>
        <w:tc>
          <w:tcPr>
            <w:tcW w:w="1554" w:type="dxa"/>
            <w:tcBorders>
              <w:top w:val="single" w:sz="4" w:space="0" w:color="auto"/>
              <w:left w:val="nil"/>
              <w:right w:val="single" w:sz="4" w:space="0" w:color="auto"/>
            </w:tcBorders>
            <w:noWrap/>
            <w:vAlign w:val="bottom"/>
          </w:tcPr>
          <w:p w:rsidR="00E74C27" w:rsidRPr="00ED4E69" w:rsidRDefault="00DD18B4" w:rsidP="009F408C">
            <w:pPr>
              <w:jc w:val="right"/>
              <w:rPr>
                <w:b/>
                <w:color w:val="000000"/>
                <w:sz w:val="22"/>
                <w:szCs w:val="22"/>
                <w:lang w:val="en-US"/>
              </w:rPr>
            </w:pPr>
            <w:r w:rsidRPr="00ED4E69">
              <w:rPr>
                <w:b/>
                <w:color w:val="000000"/>
                <w:sz w:val="22"/>
                <w:szCs w:val="22"/>
                <w:lang w:val="en-US"/>
              </w:rPr>
              <w:t>260,950</w:t>
            </w:r>
          </w:p>
        </w:tc>
        <w:tc>
          <w:tcPr>
            <w:tcW w:w="1552" w:type="dxa"/>
            <w:tcBorders>
              <w:top w:val="single" w:sz="4" w:space="0" w:color="auto"/>
              <w:left w:val="nil"/>
              <w:right w:val="single" w:sz="4" w:space="0" w:color="auto"/>
            </w:tcBorders>
            <w:noWrap/>
            <w:vAlign w:val="bottom"/>
          </w:tcPr>
          <w:p w:rsidR="00E74C27" w:rsidRPr="00ED4E69" w:rsidRDefault="00DD18B4" w:rsidP="009F408C">
            <w:pPr>
              <w:jc w:val="right"/>
              <w:rPr>
                <w:b/>
                <w:color w:val="000000"/>
                <w:sz w:val="22"/>
                <w:szCs w:val="22"/>
                <w:lang w:val="en-US"/>
              </w:rPr>
            </w:pPr>
            <w:r w:rsidRPr="00ED4E69">
              <w:rPr>
                <w:b/>
                <w:color w:val="000000"/>
                <w:sz w:val="22"/>
                <w:szCs w:val="22"/>
                <w:lang w:val="en-US"/>
              </w:rPr>
              <w:t>265,697</w:t>
            </w:r>
          </w:p>
        </w:tc>
        <w:tc>
          <w:tcPr>
            <w:tcW w:w="1693" w:type="dxa"/>
            <w:tcBorders>
              <w:top w:val="single" w:sz="4" w:space="0" w:color="auto"/>
              <w:left w:val="nil"/>
              <w:right w:val="nil"/>
            </w:tcBorders>
            <w:noWrap/>
            <w:vAlign w:val="bottom"/>
          </w:tcPr>
          <w:p w:rsidR="00E74C27" w:rsidRPr="00ED4E69" w:rsidRDefault="00DD18B4" w:rsidP="009F408C">
            <w:pPr>
              <w:jc w:val="right"/>
              <w:rPr>
                <w:b/>
                <w:color w:val="000000"/>
                <w:sz w:val="22"/>
                <w:szCs w:val="22"/>
                <w:lang w:val="en-US"/>
              </w:rPr>
            </w:pPr>
            <w:r w:rsidRPr="00ED4E69">
              <w:rPr>
                <w:b/>
                <w:color w:val="000000"/>
                <w:sz w:val="22"/>
                <w:szCs w:val="22"/>
                <w:lang w:val="en-US"/>
              </w:rPr>
              <w:t>270,744</w:t>
            </w:r>
          </w:p>
        </w:tc>
      </w:tr>
    </w:tbl>
    <w:p w:rsidR="005910A6" w:rsidRDefault="009440FC" w:rsidP="00B97100">
      <w:pPr>
        <w:ind w:left="-1134"/>
        <w:jc w:val="both"/>
        <w:rPr>
          <w:i/>
          <w:iCs/>
          <w:color w:val="231F20"/>
          <w:lang w:val="en-ZA"/>
        </w:rPr>
      </w:pPr>
      <w:r>
        <w:rPr>
          <w:i/>
          <w:iCs/>
          <w:color w:val="231F20"/>
          <w:lang w:val="en-ZA"/>
        </w:rPr>
        <w:tab/>
      </w:r>
    </w:p>
    <w:p w:rsidR="00C45666" w:rsidRDefault="005910A6" w:rsidP="000054B8">
      <w:pPr>
        <w:ind w:left="-1134"/>
        <w:jc w:val="both"/>
        <w:rPr>
          <w:i/>
          <w:iCs/>
          <w:color w:val="231F20"/>
          <w:lang w:val="en-ZA"/>
        </w:rPr>
      </w:pPr>
      <w:r>
        <w:rPr>
          <w:i/>
          <w:iCs/>
          <w:color w:val="231F20"/>
          <w:lang w:val="en-ZA"/>
        </w:rPr>
        <w:tab/>
      </w:r>
    </w:p>
    <w:tbl>
      <w:tblPr>
        <w:tblpPr w:leftFromText="180" w:rightFromText="180" w:vertAnchor="text" w:horzAnchor="margin" w:tblpXSpec="center" w:tblpY="119"/>
        <w:tblW w:w="10831" w:type="dxa"/>
        <w:tblLook w:val="00A0" w:firstRow="1" w:lastRow="0" w:firstColumn="1" w:lastColumn="0" w:noHBand="0" w:noVBand="0"/>
      </w:tblPr>
      <w:tblGrid>
        <w:gridCol w:w="6032"/>
        <w:gridCol w:w="1554"/>
        <w:gridCol w:w="1552"/>
        <w:gridCol w:w="1693"/>
      </w:tblGrid>
      <w:tr w:rsidR="00CD3EC8" w:rsidRPr="009F408C" w:rsidTr="00CD3EC8">
        <w:trPr>
          <w:trHeight w:val="548"/>
        </w:trPr>
        <w:tc>
          <w:tcPr>
            <w:tcW w:w="6032" w:type="dxa"/>
            <w:tcBorders>
              <w:top w:val="single" w:sz="8" w:space="0" w:color="auto"/>
              <w:left w:val="nil"/>
              <w:bottom w:val="single" w:sz="8" w:space="0" w:color="auto"/>
              <w:right w:val="single" w:sz="4" w:space="0" w:color="auto"/>
            </w:tcBorders>
            <w:noWrap/>
            <w:vAlign w:val="center"/>
          </w:tcPr>
          <w:p w:rsidR="00CD3EC8" w:rsidRDefault="00CD3EC8" w:rsidP="00CD3EC8">
            <w:pPr>
              <w:jc w:val="center"/>
              <w:rPr>
                <w:b/>
                <w:bCs/>
                <w:i/>
                <w:iCs/>
                <w:color w:val="000000"/>
                <w:sz w:val="22"/>
                <w:szCs w:val="22"/>
                <w:lang w:val="en-US"/>
              </w:rPr>
            </w:pPr>
            <w:r>
              <w:rPr>
                <w:b/>
                <w:bCs/>
                <w:i/>
                <w:iCs/>
                <w:color w:val="000000"/>
                <w:sz w:val="22"/>
                <w:szCs w:val="22"/>
                <w:lang w:val="en-US"/>
              </w:rPr>
              <w:t xml:space="preserve">Provincial </w:t>
            </w:r>
            <w:r w:rsidRPr="009F408C">
              <w:rPr>
                <w:b/>
                <w:bCs/>
                <w:i/>
                <w:iCs/>
                <w:color w:val="000000"/>
                <w:sz w:val="22"/>
                <w:szCs w:val="22"/>
                <w:lang w:val="en-US"/>
              </w:rPr>
              <w:t xml:space="preserve">Allocation as per </w:t>
            </w:r>
            <w:r>
              <w:rPr>
                <w:b/>
                <w:bCs/>
                <w:i/>
                <w:iCs/>
                <w:color w:val="000000"/>
                <w:sz w:val="22"/>
                <w:szCs w:val="22"/>
                <w:lang w:val="en-US"/>
              </w:rPr>
              <w:t>Provincial Notice 203 of 2017</w:t>
            </w:r>
            <w:r w:rsidRPr="009F408C">
              <w:rPr>
                <w:b/>
                <w:bCs/>
                <w:i/>
                <w:iCs/>
                <w:color w:val="000000"/>
                <w:sz w:val="22"/>
                <w:szCs w:val="22"/>
                <w:lang w:val="en-US"/>
              </w:rPr>
              <w:t xml:space="preserve">, </w:t>
            </w:r>
          </w:p>
          <w:p w:rsidR="00CD3EC8" w:rsidRPr="009F408C" w:rsidRDefault="00CD3EC8" w:rsidP="00CD3EC8">
            <w:pPr>
              <w:jc w:val="center"/>
              <w:rPr>
                <w:b/>
                <w:bCs/>
                <w:i/>
                <w:iCs/>
                <w:color w:val="000000"/>
                <w:lang w:val="en-US"/>
              </w:rPr>
            </w:pPr>
            <w:r>
              <w:rPr>
                <w:i/>
                <w:iCs/>
                <w:color w:val="231F20"/>
                <w:sz w:val="20"/>
                <w:szCs w:val="20"/>
                <w:lang w:val="en-ZA"/>
              </w:rPr>
              <w:t>Provincial</w:t>
            </w:r>
            <w:r w:rsidRPr="005C434E">
              <w:rPr>
                <w:i/>
                <w:iCs/>
                <w:color w:val="231F20"/>
                <w:sz w:val="20"/>
                <w:szCs w:val="20"/>
                <w:lang w:val="en-ZA"/>
              </w:rPr>
              <w:t xml:space="preserve"> Gazette </w:t>
            </w:r>
            <w:r>
              <w:rPr>
                <w:i/>
                <w:iCs/>
                <w:color w:val="231F20"/>
                <w:sz w:val="20"/>
                <w:szCs w:val="20"/>
                <w:lang w:val="en-ZA"/>
              </w:rPr>
              <w:t xml:space="preserve">Extraordinary </w:t>
            </w:r>
            <w:r w:rsidRPr="005C434E">
              <w:rPr>
                <w:i/>
                <w:iCs/>
                <w:color w:val="231F20"/>
                <w:sz w:val="20"/>
                <w:szCs w:val="20"/>
                <w:lang w:val="en-ZA"/>
              </w:rPr>
              <w:t xml:space="preserve">No. </w:t>
            </w:r>
            <w:r>
              <w:rPr>
                <w:i/>
                <w:iCs/>
                <w:color w:val="231F20"/>
                <w:sz w:val="20"/>
                <w:szCs w:val="20"/>
                <w:lang w:val="en-ZA"/>
              </w:rPr>
              <w:t>68</w:t>
            </w:r>
            <w:r w:rsidRPr="005C434E">
              <w:rPr>
                <w:i/>
                <w:iCs/>
                <w:color w:val="231F20"/>
                <w:sz w:val="20"/>
                <w:szCs w:val="20"/>
                <w:lang w:val="en-ZA"/>
              </w:rPr>
              <w:t xml:space="preserve"> of </w:t>
            </w:r>
            <w:r>
              <w:rPr>
                <w:i/>
                <w:iCs/>
                <w:color w:val="231F20"/>
                <w:sz w:val="20"/>
                <w:szCs w:val="20"/>
                <w:lang w:val="en-ZA"/>
              </w:rPr>
              <w:t>14 March</w:t>
            </w:r>
            <w:r w:rsidRPr="005C434E">
              <w:rPr>
                <w:i/>
                <w:iCs/>
                <w:color w:val="231F20"/>
                <w:sz w:val="20"/>
                <w:szCs w:val="20"/>
                <w:lang w:val="en-ZA"/>
              </w:rPr>
              <w:t xml:space="preserve"> 2017</w:t>
            </w:r>
          </w:p>
        </w:tc>
        <w:tc>
          <w:tcPr>
            <w:tcW w:w="1554" w:type="dxa"/>
            <w:tcBorders>
              <w:top w:val="single" w:sz="8" w:space="0" w:color="auto"/>
              <w:left w:val="nil"/>
              <w:bottom w:val="single" w:sz="8" w:space="0" w:color="auto"/>
              <w:right w:val="single" w:sz="4" w:space="0" w:color="auto"/>
            </w:tcBorders>
            <w:vAlign w:val="center"/>
          </w:tcPr>
          <w:p w:rsidR="00CD3EC8" w:rsidRDefault="00CD3EC8" w:rsidP="00CD3EC8">
            <w:pPr>
              <w:jc w:val="center"/>
              <w:rPr>
                <w:b/>
                <w:bCs/>
                <w:color w:val="000000"/>
                <w:lang w:val="en-US"/>
              </w:rPr>
            </w:pPr>
            <w:r w:rsidRPr="009F408C">
              <w:rPr>
                <w:b/>
                <w:bCs/>
                <w:color w:val="000000"/>
                <w:sz w:val="22"/>
                <w:szCs w:val="22"/>
                <w:lang w:val="en-US"/>
              </w:rPr>
              <w:t>201</w:t>
            </w:r>
            <w:r>
              <w:rPr>
                <w:b/>
                <w:bCs/>
                <w:color w:val="000000"/>
                <w:sz w:val="22"/>
                <w:szCs w:val="22"/>
                <w:lang w:val="en-US"/>
              </w:rPr>
              <w:t>7</w:t>
            </w:r>
            <w:r w:rsidRPr="009F408C">
              <w:rPr>
                <w:b/>
                <w:bCs/>
                <w:color w:val="000000"/>
                <w:sz w:val="22"/>
                <w:szCs w:val="22"/>
                <w:lang w:val="en-US"/>
              </w:rPr>
              <w:t>/201</w:t>
            </w:r>
            <w:r>
              <w:rPr>
                <w:b/>
                <w:bCs/>
                <w:color w:val="000000"/>
                <w:sz w:val="22"/>
                <w:szCs w:val="22"/>
                <w:lang w:val="en-US"/>
              </w:rPr>
              <w:t>8</w:t>
            </w:r>
            <w:r w:rsidRPr="009F408C">
              <w:rPr>
                <w:b/>
                <w:bCs/>
                <w:color w:val="000000"/>
                <w:sz w:val="22"/>
                <w:szCs w:val="22"/>
                <w:lang w:val="en-US"/>
              </w:rPr>
              <w:br/>
              <w:t>Allocation</w:t>
            </w:r>
          </w:p>
          <w:p w:rsidR="00CD3EC8" w:rsidRDefault="00CD3EC8" w:rsidP="00CD3EC8">
            <w:pPr>
              <w:jc w:val="center"/>
              <w:rPr>
                <w:b/>
                <w:bCs/>
                <w:color w:val="000000"/>
                <w:lang w:val="en-US"/>
              </w:rPr>
            </w:pPr>
          </w:p>
          <w:p w:rsidR="00CD3EC8" w:rsidRPr="009F408C" w:rsidRDefault="00CD3EC8" w:rsidP="00CD3EC8">
            <w:pPr>
              <w:jc w:val="center"/>
              <w:rPr>
                <w:b/>
                <w:bCs/>
                <w:color w:val="000000"/>
                <w:lang w:val="en-US"/>
              </w:rPr>
            </w:pPr>
            <w:r>
              <w:rPr>
                <w:b/>
                <w:bCs/>
                <w:color w:val="000000"/>
                <w:sz w:val="22"/>
                <w:szCs w:val="22"/>
                <w:lang w:val="en-US"/>
              </w:rPr>
              <w:t>R’000</w:t>
            </w:r>
          </w:p>
        </w:tc>
        <w:tc>
          <w:tcPr>
            <w:tcW w:w="1552" w:type="dxa"/>
            <w:tcBorders>
              <w:top w:val="single" w:sz="8" w:space="0" w:color="auto"/>
              <w:left w:val="nil"/>
              <w:bottom w:val="single" w:sz="8" w:space="0" w:color="auto"/>
              <w:right w:val="single" w:sz="4" w:space="0" w:color="auto"/>
            </w:tcBorders>
            <w:vAlign w:val="center"/>
          </w:tcPr>
          <w:p w:rsidR="00CD3EC8" w:rsidRDefault="00CD3EC8" w:rsidP="00CD3EC8">
            <w:pPr>
              <w:jc w:val="center"/>
              <w:rPr>
                <w:b/>
                <w:bCs/>
                <w:color w:val="000000"/>
                <w:sz w:val="22"/>
                <w:szCs w:val="22"/>
                <w:lang w:val="en-US"/>
              </w:rPr>
            </w:pPr>
            <w:r w:rsidRPr="009F408C">
              <w:rPr>
                <w:b/>
                <w:bCs/>
                <w:color w:val="000000"/>
                <w:sz w:val="22"/>
                <w:szCs w:val="22"/>
                <w:lang w:val="en-US"/>
              </w:rPr>
              <w:t>201</w:t>
            </w:r>
            <w:r>
              <w:rPr>
                <w:b/>
                <w:bCs/>
                <w:color w:val="000000"/>
                <w:sz w:val="22"/>
                <w:szCs w:val="22"/>
                <w:lang w:val="en-US"/>
              </w:rPr>
              <w:t>8</w:t>
            </w:r>
            <w:r w:rsidRPr="009F408C">
              <w:rPr>
                <w:b/>
                <w:bCs/>
                <w:color w:val="000000"/>
                <w:sz w:val="22"/>
                <w:szCs w:val="22"/>
                <w:lang w:val="en-US"/>
              </w:rPr>
              <w:t>/201</w:t>
            </w:r>
            <w:r>
              <w:rPr>
                <w:b/>
                <w:bCs/>
                <w:color w:val="000000"/>
                <w:sz w:val="22"/>
                <w:szCs w:val="22"/>
                <w:lang w:val="en-US"/>
              </w:rPr>
              <w:t>9</w:t>
            </w:r>
          </w:p>
          <w:p w:rsidR="00CD3EC8" w:rsidRDefault="00CD3EC8" w:rsidP="00CD3EC8">
            <w:pPr>
              <w:jc w:val="center"/>
              <w:rPr>
                <w:b/>
                <w:bCs/>
                <w:color w:val="000000"/>
                <w:lang w:val="en-US"/>
              </w:rPr>
            </w:pPr>
            <w:r w:rsidRPr="009F408C">
              <w:rPr>
                <w:b/>
                <w:bCs/>
                <w:color w:val="000000"/>
                <w:sz w:val="22"/>
                <w:szCs w:val="22"/>
                <w:lang w:val="en-US"/>
              </w:rPr>
              <w:t>Forward Estimate</w:t>
            </w:r>
          </w:p>
          <w:p w:rsidR="00CD3EC8" w:rsidRPr="009F408C" w:rsidRDefault="00CD3EC8" w:rsidP="00CD3EC8">
            <w:pPr>
              <w:jc w:val="center"/>
              <w:rPr>
                <w:b/>
                <w:bCs/>
                <w:color w:val="000000"/>
                <w:lang w:val="en-US"/>
              </w:rPr>
            </w:pPr>
            <w:r>
              <w:rPr>
                <w:b/>
                <w:bCs/>
                <w:color w:val="000000"/>
                <w:sz w:val="22"/>
                <w:szCs w:val="22"/>
                <w:lang w:val="en-US"/>
              </w:rPr>
              <w:t>R’000</w:t>
            </w:r>
          </w:p>
        </w:tc>
        <w:tc>
          <w:tcPr>
            <w:tcW w:w="1693" w:type="dxa"/>
            <w:tcBorders>
              <w:top w:val="single" w:sz="8" w:space="0" w:color="auto"/>
              <w:left w:val="nil"/>
              <w:bottom w:val="single" w:sz="8" w:space="0" w:color="auto"/>
              <w:right w:val="nil"/>
            </w:tcBorders>
            <w:vAlign w:val="center"/>
          </w:tcPr>
          <w:p w:rsidR="00CD3EC8" w:rsidRDefault="00CD3EC8" w:rsidP="00CD3EC8">
            <w:pPr>
              <w:jc w:val="center"/>
              <w:rPr>
                <w:b/>
                <w:bCs/>
                <w:color w:val="000000"/>
                <w:lang w:val="en-US"/>
              </w:rPr>
            </w:pPr>
            <w:r>
              <w:rPr>
                <w:b/>
                <w:bCs/>
                <w:color w:val="000000"/>
                <w:sz w:val="22"/>
                <w:szCs w:val="22"/>
                <w:lang w:val="en-US"/>
              </w:rPr>
              <w:t>2019/2020</w:t>
            </w:r>
            <w:r w:rsidRPr="009F408C">
              <w:rPr>
                <w:b/>
                <w:bCs/>
                <w:color w:val="000000"/>
                <w:sz w:val="22"/>
                <w:szCs w:val="22"/>
                <w:lang w:val="en-US"/>
              </w:rPr>
              <w:br/>
              <w:t>Forward Estimate</w:t>
            </w:r>
          </w:p>
          <w:p w:rsidR="00CD3EC8" w:rsidRPr="009F408C" w:rsidRDefault="00CD3EC8" w:rsidP="00CD3EC8">
            <w:pPr>
              <w:jc w:val="center"/>
              <w:rPr>
                <w:b/>
                <w:bCs/>
                <w:color w:val="000000"/>
                <w:lang w:val="en-US"/>
              </w:rPr>
            </w:pPr>
            <w:r>
              <w:rPr>
                <w:b/>
                <w:bCs/>
                <w:color w:val="000000"/>
                <w:sz w:val="22"/>
                <w:szCs w:val="22"/>
                <w:lang w:val="en-US"/>
              </w:rPr>
              <w:t>R’000</w:t>
            </w:r>
          </w:p>
        </w:tc>
      </w:tr>
      <w:tr w:rsidR="00CD3EC8" w:rsidRPr="009F408C" w:rsidTr="00CD3EC8">
        <w:trPr>
          <w:trHeight w:val="282"/>
        </w:trPr>
        <w:tc>
          <w:tcPr>
            <w:tcW w:w="6032" w:type="dxa"/>
            <w:tcBorders>
              <w:top w:val="nil"/>
              <w:left w:val="nil"/>
              <w:bottom w:val="nil"/>
              <w:right w:val="single" w:sz="4" w:space="0" w:color="auto"/>
            </w:tcBorders>
            <w:noWrap/>
            <w:vAlign w:val="bottom"/>
          </w:tcPr>
          <w:p w:rsidR="00CD3EC8" w:rsidRPr="009F408C" w:rsidRDefault="00ED4E69" w:rsidP="00CD3EC8">
            <w:pPr>
              <w:rPr>
                <w:color w:val="000000"/>
                <w:lang w:val="en-US"/>
              </w:rPr>
            </w:pPr>
            <w:r>
              <w:rPr>
                <w:color w:val="000000"/>
                <w:lang w:val="en-US"/>
              </w:rPr>
              <w:t>HIV and AIDS</w:t>
            </w:r>
          </w:p>
        </w:tc>
        <w:tc>
          <w:tcPr>
            <w:tcW w:w="1554" w:type="dxa"/>
            <w:tcBorders>
              <w:top w:val="nil"/>
              <w:left w:val="nil"/>
              <w:bottom w:val="nil"/>
              <w:right w:val="single" w:sz="4" w:space="0" w:color="auto"/>
            </w:tcBorders>
            <w:noWrap/>
            <w:vAlign w:val="bottom"/>
          </w:tcPr>
          <w:p w:rsidR="00CD3EC8" w:rsidRPr="009F408C" w:rsidRDefault="00ED4E69" w:rsidP="00CD3EC8">
            <w:pPr>
              <w:jc w:val="right"/>
              <w:rPr>
                <w:color w:val="000000"/>
                <w:lang w:val="en-US"/>
              </w:rPr>
            </w:pPr>
            <w:r>
              <w:rPr>
                <w:color w:val="000000"/>
                <w:lang w:val="en-US"/>
              </w:rPr>
              <w:t>7,790</w:t>
            </w:r>
          </w:p>
        </w:tc>
        <w:tc>
          <w:tcPr>
            <w:tcW w:w="1552" w:type="dxa"/>
            <w:tcBorders>
              <w:top w:val="nil"/>
              <w:left w:val="nil"/>
              <w:bottom w:val="nil"/>
              <w:right w:val="single" w:sz="4" w:space="0" w:color="auto"/>
            </w:tcBorders>
            <w:noWrap/>
            <w:vAlign w:val="bottom"/>
          </w:tcPr>
          <w:p w:rsidR="00CD3EC8" w:rsidRPr="009F408C" w:rsidRDefault="00ED4E69" w:rsidP="00CD3EC8">
            <w:pPr>
              <w:jc w:val="right"/>
              <w:rPr>
                <w:color w:val="000000"/>
                <w:lang w:val="en-US"/>
              </w:rPr>
            </w:pPr>
            <w:r>
              <w:rPr>
                <w:color w:val="000000"/>
                <w:lang w:val="en-US"/>
              </w:rPr>
              <w:t>8,288</w:t>
            </w:r>
          </w:p>
        </w:tc>
        <w:tc>
          <w:tcPr>
            <w:tcW w:w="1693" w:type="dxa"/>
            <w:tcBorders>
              <w:top w:val="nil"/>
              <w:left w:val="nil"/>
              <w:bottom w:val="nil"/>
              <w:right w:val="nil"/>
            </w:tcBorders>
            <w:noWrap/>
            <w:vAlign w:val="bottom"/>
          </w:tcPr>
          <w:p w:rsidR="00CD3EC8" w:rsidRPr="009F408C" w:rsidRDefault="00ED4E69" w:rsidP="00CD3EC8">
            <w:pPr>
              <w:jc w:val="right"/>
              <w:rPr>
                <w:color w:val="000000"/>
                <w:lang w:val="en-US"/>
              </w:rPr>
            </w:pPr>
            <w:r>
              <w:rPr>
                <w:color w:val="000000"/>
                <w:lang w:val="en-US"/>
              </w:rPr>
              <w:t>9,817</w:t>
            </w:r>
          </w:p>
        </w:tc>
      </w:tr>
      <w:tr w:rsidR="00ED4E69" w:rsidRPr="009F408C" w:rsidTr="00CD3EC8">
        <w:trPr>
          <w:trHeight w:val="268"/>
        </w:trPr>
        <w:tc>
          <w:tcPr>
            <w:tcW w:w="6032" w:type="dxa"/>
            <w:tcBorders>
              <w:top w:val="single" w:sz="4" w:space="0" w:color="auto"/>
              <w:left w:val="nil"/>
              <w:right w:val="single" w:sz="4" w:space="0" w:color="auto"/>
            </w:tcBorders>
            <w:noWrap/>
            <w:vAlign w:val="bottom"/>
          </w:tcPr>
          <w:p w:rsidR="00ED4E69" w:rsidRPr="0093553E" w:rsidRDefault="00ED4E69" w:rsidP="00ED4E69">
            <w:pPr>
              <w:rPr>
                <w:b/>
                <w:color w:val="000000"/>
                <w:sz w:val="22"/>
                <w:szCs w:val="22"/>
                <w:lang w:val="en-US"/>
              </w:rPr>
            </w:pPr>
            <w:r w:rsidRPr="0093553E">
              <w:rPr>
                <w:b/>
                <w:color w:val="000000"/>
                <w:sz w:val="22"/>
                <w:szCs w:val="22"/>
                <w:lang w:val="en-US"/>
              </w:rPr>
              <w:t>TOTAL ALLOCATION GAZETTED</w:t>
            </w:r>
          </w:p>
        </w:tc>
        <w:tc>
          <w:tcPr>
            <w:tcW w:w="1554" w:type="dxa"/>
            <w:tcBorders>
              <w:top w:val="single" w:sz="4" w:space="0" w:color="auto"/>
              <w:left w:val="nil"/>
              <w:right w:val="single" w:sz="4" w:space="0" w:color="auto"/>
            </w:tcBorders>
            <w:noWrap/>
            <w:vAlign w:val="bottom"/>
          </w:tcPr>
          <w:p w:rsidR="00ED4E69" w:rsidRPr="0093553E" w:rsidRDefault="00ED4E69" w:rsidP="00ED4E69">
            <w:pPr>
              <w:jc w:val="right"/>
              <w:rPr>
                <w:b/>
                <w:color w:val="000000"/>
                <w:lang w:val="en-US"/>
              </w:rPr>
            </w:pPr>
            <w:r w:rsidRPr="0093553E">
              <w:rPr>
                <w:b/>
                <w:color w:val="000000"/>
                <w:lang w:val="en-US"/>
              </w:rPr>
              <w:t>7,790</w:t>
            </w:r>
          </w:p>
        </w:tc>
        <w:tc>
          <w:tcPr>
            <w:tcW w:w="1552" w:type="dxa"/>
            <w:tcBorders>
              <w:top w:val="single" w:sz="4" w:space="0" w:color="auto"/>
              <w:left w:val="nil"/>
              <w:right w:val="single" w:sz="4" w:space="0" w:color="auto"/>
            </w:tcBorders>
            <w:noWrap/>
            <w:vAlign w:val="bottom"/>
          </w:tcPr>
          <w:p w:rsidR="00ED4E69" w:rsidRPr="0093553E" w:rsidRDefault="00ED4E69" w:rsidP="00ED4E69">
            <w:pPr>
              <w:jc w:val="right"/>
              <w:rPr>
                <w:b/>
                <w:color w:val="000000"/>
                <w:lang w:val="en-US"/>
              </w:rPr>
            </w:pPr>
            <w:r w:rsidRPr="0093553E">
              <w:rPr>
                <w:b/>
                <w:color w:val="000000"/>
                <w:lang w:val="en-US"/>
              </w:rPr>
              <w:t>8,288</w:t>
            </w:r>
          </w:p>
        </w:tc>
        <w:tc>
          <w:tcPr>
            <w:tcW w:w="1693" w:type="dxa"/>
            <w:tcBorders>
              <w:top w:val="single" w:sz="4" w:space="0" w:color="auto"/>
              <w:left w:val="nil"/>
              <w:right w:val="nil"/>
            </w:tcBorders>
            <w:noWrap/>
            <w:vAlign w:val="bottom"/>
          </w:tcPr>
          <w:p w:rsidR="00ED4E69" w:rsidRPr="0093553E" w:rsidRDefault="00ED4E69" w:rsidP="00ED4E69">
            <w:pPr>
              <w:jc w:val="right"/>
              <w:rPr>
                <w:b/>
                <w:color w:val="000000"/>
                <w:lang w:val="en-US"/>
              </w:rPr>
            </w:pPr>
            <w:r w:rsidRPr="0093553E">
              <w:rPr>
                <w:b/>
                <w:color w:val="000000"/>
                <w:lang w:val="en-US"/>
              </w:rPr>
              <w:t>9,817</w:t>
            </w:r>
          </w:p>
        </w:tc>
      </w:tr>
    </w:tbl>
    <w:p w:rsidR="00F004CA" w:rsidRDefault="00F004CA" w:rsidP="00B616F1">
      <w:pPr>
        <w:ind w:left="1224"/>
        <w:jc w:val="both"/>
        <w:rPr>
          <w:iCs/>
          <w:color w:val="231F20"/>
          <w:lang w:val="en-ZA"/>
        </w:rPr>
      </w:pPr>
    </w:p>
    <w:p w:rsidR="0010763E" w:rsidRPr="00BE3210" w:rsidRDefault="00F004CA" w:rsidP="00B914C8">
      <w:pPr>
        <w:ind w:left="720"/>
        <w:jc w:val="both"/>
        <w:rPr>
          <w:u w:val="single"/>
        </w:rPr>
      </w:pPr>
      <w:r>
        <w:rPr>
          <w:iCs/>
          <w:color w:val="231F20"/>
          <w:lang w:val="en-ZA"/>
        </w:rPr>
        <w:t>3</w:t>
      </w:r>
      <w:r w:rsidR="002A2BD7">
        <w:rPr>
          <w:iCs/>
          <w:color w:val="231F20"/>
          <w:lang w:val="en-ZA"/>
        </w:rPr>
        <w:t>.</w:t>
      </w:r>
      <w:r w:rsidR="002A2BD7">
        <w:rPr>
          <w:iCs/>
          <w:color w:val="231F20"/>
          <w:lang w:val="en-ZA"/>
        </w:rPr>
        <w:tab/>
      </w:r>
      <w:r w:rsidR="0010763E" w:rsidRPr="00BE3210">
        <w:rPr>
          <w:u w:val="single"/>
        </w:rPr>
        <w:t xml:space="preserve">Key </w:t>
      </w:r>
      <w:r w:rsidR="0010763E">
        <w:rPr>
          <w:u w:val="single"/>
        </w:rPr>
        <w:t>L</w:t>
      </w:r>
      <w:r w:rsidR="0010763E" w:rsidRPr="00BE3210">
        <w:rPr>
          <w:u w:val="single"/>
        </w:rPr>
        <w:t xml:space="preserve">egal </w:t>
      </w:r>
      <w:r w:rsidR="0010763E">
        <w:rPr>
          <w:u w:val="single"/>
        </w:rPr>
        <w:t>P</w:t>
      </w:r>
      <w:r w:rsidR="0010763E" w:rsidRPr="00BE3210">
        <w:rPr>
          <w:u w:val="single"/>
        </w:rPr>
        <w:t>rovisions to be Strictly Enforced</w:t>
      </w:r>
    </w:p>
    <w:p w:rsidR="0010763E" w:rsidRDefault="0010763E" w:rsidP="00420C36">
      <w:pPr>
        <w:jc w:val="both"/>
      </w:pPr>
    </w:p>
    <w:p w:rsidR="0010763E" w:rsidRPr="00571DA7" w:rsidRDefault="0041736B" w:rsidP="00C75D7B">
      <w:pPr>
        <w:autoSpaceDE w:val="0"/>
        <w:autoSpaceDN w:val="0"/>
        <w:adjustRightInd w:val="0"/>
        <w:ind w:left="1440" w:hanging="22"/>
        <w:jc w:val="both"/>
      </w:pPr>
      <w:r>
        <w:tab/>
      </w:r>
      <w:r w:rsidR="0010763E" w:rsidRPr="00571DA7">
        <w:t>All municipalities must prepare budgets, adjustments budgets and in-year reports for the 20</w:t>
      </w:r>
      <w:r w:rsidR="00BD579D">
        <w:t>1</w:t>
      </w:r>
      <w:r w:rsidR="006F5B90">
        <w:t>7</w:t>
      </w:r>
      <w:r w:rsidR="0010763E" w:rsidRPr="00571DA7">
        <w:t>/1</w:t>
      </w:r>
      <w:r w:rsidR="006F5B90">
        <w:t>8</w:t>
      </w:r>
      <w:r w:rsidR="0010763E" w:rsidRPr="00571DA7">
        <w:t xml:space="preserve"> financial year in accordance with the Municipal Budget and Reporting </w:t>
      </w:r>
      <w:r w:rsidR="006F5B90" w:rsidRPr="00B4596F">
        <w:rPr>
          <w:b/>
          <w:i/>
        </w:rPr>
        <w:t>AND</w:t>
      </w:r>
      <w:r w:rsidR="006F5B90">
        <w:t xml:space="preserve"> Municipal Standard Chart </w:t>
      </w:r>
      <w:r w:rsidR="00B4596F">
        <w:t xml:space="preserve">of Accounts </w:t>
      </w:r>
      <w:r w:rsidR="0010763E" w:rsidRPr="00571DA7">
        <w:t>Regulations. In this regard, municipalities must comply with both:</w:t>
      </w:r>
    </w:p>
    <w:p w:rsidR="0010763E" w:rsidRPr="00571DA7" w:rsidRDefault="0010763E" w:rsidP="0041736B">
      <w:pPr>
        <w:autoSpaceDE w:val="0"/>
        <w:autoSpaceDN w:val="0"/>
        <w:adjustRightInd w:val="0"/>
        <w:ind w:left="2160" w:hanging="742"/>
        <w:jc w:val="both"/>
      </w:pPr>
    </w:p>
    <w:p w:rsidR="0010763E" w:rsidRPr="00571DA7" w:rsidRDefault="0010763E" w:rsidP="002A2BD7">
      <w:pPr>
        <w:pStyle w:val="ListParagraph"/>
        <w:numPr>
          <w:ilvl w:val="0"/>
          <w:numId w:val="5"/>
        </w:numPr>
        <w:autoSpaceDE w:val="0"/>
        <w:autoSpaceDN w:val="0"/>
        <w:adjustRightInd w:val="0"/>
        <w:spacing w:after="0" w:line="240" w:lineRule="auto"/>
        <w:ind w:hanging="698"/>
        <w:jc w:val="both"/>
        <w:rPr>
          <w:rFonts w:ascii="Times New Roman" w:hAnsi="Times New Roman" w:cs="Times New Roman"/>
          <w:sz w:val="24"/>
          <w:szCs w:val="24"/>
        </w:rPr>
      </w:pPr>
      <w:r w:rsidRPr="00571DA7">
        <w:rPr>
          <w:rFonts w:ascii="Times New Roman" w:hAnsi="Times New Roman" w:cs="Times New Roman"/>
          <w:sz w:val="24"/>
          <w:szCs w:val="24"/>
        </w:rPr>
        <w:t xml:space="preserve">The formats set out in Schedules A, B and C of the regulations; </w:t>
      </w:r>
      <w:r w:rsidR="0041736B">
        <w:rPr>
          <w:rFonts w:ascii="Times New Roman" w:hAnsi="Times New Roman" w:cs="Times New Roman"/>
          <w:sz w:val="24"/>
          <w:szCs w:val="24"/>
        </w:rPr>
        <w:tab/>
      </w:r>
      <w:r w:rsidR="0041736B">
        <w:rPr>
          <w:rFonts w:ascii="Times New Roman" w:hAnsi="Times New Roman" w:cs="Times New Roman"/>
          <w:sz w:val="24"/>
          <w:szCs w:val="24"/>
        </w:rPr>
        <w:tab/>
      </w:r>
      <w:r w:rsidRPr="00571DA7">
        <w:rPr>
          <w:rFonts w:ascii="Times New Roman" w:hAnsi="Times New Roman" w:cs="Times New Roman"/>
          <w:sz w:val="24"/>
          <w:szCs w:val="24"/>
        </w:rPr>
        <w:t>and</w:t>
      </w:r>
    </w:p>
    <w:p w:rsidR="0010763E" w:rsidRPr="00571DA7" w:rsidRDefault="0010763E" w:rsidP="002A2BD7">
      <w:pPr>
        <w:pStyle w:val="ListParagraph"/>
        <w:numPr>
          <w:ilvl w:val="0"/>
          <w:numId w:val="5"/>
        </w:numPr>
        <w:autoSpaceDE w:val="0"/>
        <w:autoSpaceDN w:val="0"/>
        <w:adjustRightInd w:val="0"/>
        <w:spacing w:after="0" w:line="240" w:lineRule="auto"/>
        <w:ind w:hanging="698"/>
        <w:jc w:val="both"/>
        <w:rPr>
          <w:rFonts w:ascii="Times New Roman" w:hAnsi="Times New Roman" w:cs="Times New Roman"/>
          <w:sz w:val="24"/>
          <w:szCs w:val="24"/>
        </w:rPr>
      </w:pPr>
      <w:r w:rsidRPr="00571DA7">
        <w:rPr>
          <w:rFonts w:ascii="Times New Roman" w:hAnsi="Times New Roman" w:cs="Times New Roman"/>
          <w:sz w:val="24"/>
          <w:szCs w:val="24"/>
        </w:rPr>
        <w:t xml:space="preserve">The relevant attachments to each of the Schedules (the Excel </w:t>
      </w:r>
      <w:r w:rsidR="0041736B">
        <w:rPr>
          <w:rFonts w:ascii="Times New Roman" w:hAnsi="Times New Roman" w:cs="Times New Roman"/>
          <w:sz w:val="24"/>
          <w:szCs w:val="24"/>
        </w:rPr>
        <w:tab/>
      </w:r>
      <w:r w:rsidR="0041736B">
        <w:rPr>
          <w:rFonts w:ascii="Times New Roman" w:hAnsi="Times New Roman" w:cs="Times New Roman"/>
          <w:sz w:val="24"/>
          <w:szCs w:val="24"/>
        </w:rPr>
        <w:tab/>
      </w:r>
      <w:r w:rsidRPr="00571DA7">
        <w:rPr>
          <w:rFonts w:ascii="Times New Roman" w:hAnsi="Times New Roman" w:cs="Times New Roman"/>
          <w:sz w:val="24"/>
          <w:szCs w:val="24"/>
        </w:rPr>
        <w:t>Formats).</w:t>
      </w:r>
    </w:p>
    <w:p w:rsidR="0010763E" w:rsidRPr="00571DA7" w:rsidRDefault="0010763E" w:rsidP="0041736B">
      <w:pPr>
        <w:autoSpaceDE w:val="0"/>
        <w:autoSpaceDN w:val="0"/>
        <w:adjustRightInd w:val="0"/>
        <w:ind w:left="1418" w:firstLine="22"/>
        <w:jc w:val="both"/>
      </w:pPr>
    </w:p>
    <w:p w:rsidR="0010763E" w:rsidRPr="00571DA7" w:rsidRDefault="0010763E" w:rsidP="00C75D7B">
      <w:pPr>
        <w:autoSpaceDE w:val="0"/>
        <w:autoSpaceDN w:val="0"/>
        <w:adjustRightInd w:val="0"/>
        <w:ind w:left="1440"/>
        <w:jc w:val="both"/>
      </w:pPr>
      <w:r w:rsidRPr="00F93B69">
        <w:t>All municipalities must do a funding compliance assessment of their 201</w:t>
      </w:r>
      <w:r w:rsidR="00F93B69">
        <w:t>7</w:t>
      </w:r>
      <w:r w:rsidRPr="00F93B69">
        <w:t>/1</w:t>
      </w:r>
      <w:r w:rsidR="00F93B69">
        <w:t>8</w:t>
      </w:r>
      <w:r w:rsidRPr="00F93B69">
        <w:t xml:space="preserve"> budgets in accordance with the guidance given in MFMA Circular </w:t>
      </w:r>
      <w:r w:rsidR="00F93B69">
        <w:t>80</w:t>
      </w:r>
      <w:r w:rsidRPr="00F93B69">
        <w:t xml:space="preserve"> and the </w:t>
      </w:r>
      <w:r w:rsidR="00F93B69">
        <w:t>Municipal Standard Chart of Accounts Regulations</w:t>
      </w:r>
      <w:r w:rsidR="00CE041B">
        <w:t>, GN 312 of 2014,</w:t>
      </w:r>
      <w:r w:rsidRPr="00F93B69">
        <w:t xml:space="preserve"> before tabling their bu</w:t>
      </w:r>
      <w:r w:rsidR="00DC7B5F">
        <w:t>dget, and where necessary revise</w:t>
      </w:r>
      <w:r w:rsidRPr="00F93B69">
        <w:t xml:space="preserve"> their budget </w:t>
      </w:r>
      <w:r w:rsidR="00DC7B5F">
        <w:t xml:space="preserve">submissions </w:t>
      </w:r>
      <w:r w:rsidRPr="00F93B69">
        <w:t xml:space="preserve">to comply </w:t>
      </w:r>
      <w:r w:rsidR="00DC7B5F">
        <w:t>with</w:t>
      </w:r>
      <w:r w:rsidRPr="00F93B69">
        <w:t xml:space="preserve"> a properly funded budget.</w:t>
      </w:r>
    </w:p>
    <w:p w:rsidR="0010763E" w:rsidRDefault="0010763E" w:rsidP="00C75D7B">
      <w:pPr>
        <w:autoSpaceDE w:val="0"/>
        <w:autoSpaceDN w:val="0"/>
        <w:adjustRightInd w:val="0"/>
        <w:ind w:left="1440"/>
        <w:jc w:val="both"/>
      </w:pPr>
    </w:p>
    <w:p w:rsidR="0010763E" w:rsidRDefault="0093553E" w:rsidP="00C75D7B">
      <w:pPr>
        <w:autoSpaceDE w:val="0"/>
        <w:autoSpaceDN w:val="0"/>
        <w:adjustRightInd w:val="0"/>
        <w:ind w:left="1440"/>
        <w:jc w:val="both"/>
      </w:pPr>
      <w:r w:rsidRPr="0093553E">
        <w:t>The deadline for tabling municipal budgets for consideration for approval is thirty (30) days before the commencement of the budget year as per Section 24(1) of the MFMA.</w:t>
      </w:r>
    </w:p>
    <w:p w:rsidR="0093553E" w:rsidRPr="00571DA7" w:rsidRDefault="0093553E" w:rsidP="00C75D7B">
      <w:pPr>
        <w:autoSpaceDE w:val="0"/>
        <w:autoSpaceDN w:val="0"/>
        <w:adjustRightInd w:val="0"/>
        <w:ind w:left="1440"/>
        <w:jc w:val="both"/>
      </w:pPr>
    </w:p>
    <w:p w:rsidR="0010763E" w:rsidRDefault="0010763E" w:rsidP="00C75D7B">
      <w:pPr>
        <w:autoSpaceDE w:val="0"/>
        <w:autoSpaceDN w:val="0"/>
        <w:adjustRightInd w:val="0"/>
        <w:ind w:left="1440"/>
        <w:jc w:val="both"/>
      </w:pPr>
      <w:r w:rsidRPr="00571DA7">
        <w:t xml:space="preserve">The deadline for the submission </w:t>
      </w:r>
      <w:r w:rsidR="002C453F">
        <w:t xml:space="preserve">to National Treasury, MEC, DLG, AG and SALGA </w:t>
      </w:r>
      <w:r w:rsidRPr="00571DA7">
        <w:t>of approved budgets is ten working days after Council approves the annual budget.</w:t>
      </w:r>
    </w:p>
    <w:p w:rsidR="00FA50D7" w:rsidRDefault="00FA50D7" w:rsidP="00C75D7B">
      <w:pPr>
        <w:ind w:left="1440"/>
        <w:jc w:val="both"/>
      </w:pPr>
    </w:p>
    <w:p w:rsidR="00FA50D7" w:rsidRDefault="00FA50D7" w:rsidP="00FA50D7">
      <w:pPr>
        <w:ind w:left="1854"/>
        <w:jc w:val="both"/>
      </w:pPr>
    </w:p>
    <w:p w:rsidR="000146F9" w:rsidRDefault="000146F9" w:rsidP="00FA50D7">
      <w:pPr>
        <w:ind w:left="1854"/>
        <w:jc w:val="both"/>
      </w:pPr>
    </w:p>
    <w:p w:rsidR="00FA50D7" w:rsidRDefault="00FA50D7" w:rsidP="00FA50D7">
      <w:pPr>
        <w:ind w:left="1854"/>
        <w:jc w:val="both"/>
      </w:pPr>
    </w:p>
    <w:p w:rsidR="00BF1267" w:rsidRDefault="00BF1267" w:rsidP="00FA50D7">
      <w:pPr>
        <w:ind w:left="1854"/>
        <w:jc w:val="both"/>
      </w:pPr>
    </w:p>
    <w:p w:rsidR="00BF1267" w:rsidRDefault="00BF1267" w:rsidP="00FA50D7">
      <w:pPr>
        <w:ind w:left="1854"/>
        <w:jc w:val="both"/>
      </w:pPr>
    </w:p>
    <w:p w:rsidR="0010763E" w:rsidRDefault="00FA50D7" w:rsidP="006363FB">
      <w:pPr>
        <w:ind w:left="720"/>
        <w:jc w:val="both"/>
        <w:rPr>
          <w:u w:val="single"/>
        </w:rPr>
      </w:pPr>
      <w:r>
        <w:lastRenderedPageBreak/>
        <w:t>4</w:t>
      </w:r>
      <w:r w:rsidR="00A940C1">
        <w:t>.</w:t>
      </w:r>
      <w:r>
        <w:t xml:space="preserve">   </w:t>
      </w:r>
      <w:r w:rsidR="0010763E" w:rsidRPr="002E1E90">
        <w:rPr>
          <w:u w:val="single"/>
        </w:rPr>
        <w:t>Operating Income</w:t>
      </w:r>
    </w:p>
    <w:p w:rsidR="0010763E" w:rsidRDefault="0010763E" w:rsidP="0086110B">
      <w:pPr>
        <w:ind w:left="1224"/>
        <w:jc w:val="both"/>
        <w:rPr>
          <w:u w:val="single"/>
        </w:rPr>
      </w:pPr>
    </w:p>
    <w:p w:rsidR="00C64E9A" w:rsidRDefault="0010763E" w:rsidP="00A940C1">
      <w:pPr>
        <w:ind w:left="1080"/>
        <w:jc w:val="both"/>
      </w:pPr>
      <w:r w:rsidRPr="0086110B">
        <w:t>The service charges and rental income</w:t>
      </w:r>
      <w:r>
        <w:t xml:space="preserve"> have been increased </w:t>
      </w:r>
      <w:r w:rsidR="00CF453E">
        <w:t>by</w:t>
      </w:r>
      <w:r w:rsidR="00A940C1">
        <w:t xml:space="preserve"> </w:t>
      </w:r>
      <w:r w:rsidR="00BD579D">
        <w:t>6</w:t>
      </w:r>
      <w:r w:rsidRPr="005910A6">
        <w:t>%</w:t>
      </w:r>
      <w:r w:rsidR="00A940C1">
        <w:t xml:space="preserve"> </w:t>
      </w:r>
      <w:r w:rsidR="002C453F">
        <w:t>in</w:t>
      </w:r>
      <w:r w:rsidR="00A940C1">
        <w:t xml:space="preserve"> accordance </w:t>
      </w:r>
      <w:r w:rsidR="002C453F">
        <w:t xml:space="preserve">with the </w:t>
      </w:r>
      <w:r w:rsidR="005910A6">
        <w:t>guidelines</w:t>
      </w:r>
      <w:r w:rsidR="002C453F">
        <w:t xml:space="preserve"> as prescribed by National Treasury.</w:t>
      </w:r>
    </w:p>
    <w:p w:rsidR="00CC5F89" w:rsidRDefault="00CC5F89" w:rsidP="002E1E90">
      <w:pPr>
        <w:ind w:left="1224"/>
        <w:jc w:val="both"/>
        <w:rPr>
          <w:u w:val="single"/>
        </w:rPr>
      </w:pPr>
    </w:p>
    <w:tbl>
      <w:tblPr>
        <w:tblW w:w="9306" w:type="dxa"/>
        <w:tblInd w:w="328" w:type="dxa"/>
        <w:tblLook w:val="00A0" w:firstRow="1" w:lastRow="0" w:firstColumn="1" w:lastColumn="0" w:noHBand="0" w:noVBand="0"/>
      </w:tblPr>
      <w:tblGrid>
        <w:gridCol w:w="5724"/>
        <w:gridCol w:w="1404"/>
        <w:gridCol w:w="1316"/>
        <w:gridCol w:w="895"/>
      </w:tblGrid>
      <w:tr w:rsidR="007D3BF8" w:rsidRPr="00CC5F89" w:rsidTr="007D3BF8">
        <w:trPr>
          <w:trHeight w:val="645"/>
        </w:trPr>
        <w:tc>
          <w:tcPr>
            <w:tcW w:w="5724" w:type="dxa"/>
            <w:tcBorders>
              <w:top w:val="single" w:sz="4" w:space="0" w:color="auto"/>
              <w:left w:val="single" w:sz="4" w:space="0" w:color="auto"/>
              <w:bottom w:val="nil"/>
              <w:right w:val="single" w:sz="8" w:space="0" w:color="000000"/>
            </w:tcBorders>
            <w:shd w:val="clear" w:color="auto" w:fill="auto"/>
            <w:vAlign w:val="center"/>
          </w:tcPr>
          <w:p w:rsidR="007D3BF8" w:rsidRPr="00CC5F89" w:rsidRDefault="007D3BF8" w:rsidP="002E1E90">
            <w:pPr>
              <w:jc w:val="center"/>
              <w:rPr>
                <w:b/>
                <w:bCs/>
                <w:color w:val="000000"/>
                <w:sz w:val="22"/>
                <w:szCs w:val="22"/>
                <w:lang w:val="en-US"/>
              </w:rPr>
            </w:pPr>
            <w:r w:rsidRPr="00CC5F89">
              <w:rPr>
                <w:b/>
                <w:bCs/>
                <w:color w:val="000000"/>
                <w:sz w:val="22"/>
                <w:szCs w:val="22"/>
                <w:lang w:val="en-US"/>
              </w:rPr>
              <w:t>DESCRIPTION</w:t>
            </w:r>
          </w:p>
        </w:tc>
        <w:tc>
          <w:tcPr>
            <w:tcW w:w="1404" w:type="dxa"/>
            <w:tcBorders>
              <w:top w:val="single" w:sz="4" w:space="0" w:color="auto"/>
              <w:left w:val="nil"/>
              <w:bottom w:val="nil"/>
              <w:right w:val="single" w:sz="8" w:space="0" w:color="000000"/>
            </w:tcBorders>
            <w:shd w:val="clear" w:color="auto" w:fill="auto"/>
            <w:vAlign w:val="center"/>
          </w:tcPr>
          <w:p w:rsidR="007D3BF8" w:rsidRDefault="007D3BF8" w:rsidP="002E1E90">
            <w:pPr>
              <w:jc w:val="center"/>
              <w:rPr>
                <w:b/>
                <w:bCs/>
                <w:color w:val="000000"/>
                <w:sz w:val="22"/>
                <w:szCs w:val="22"/>
                <w:lang w:val="en-US"/>
              </w:rPr>
            </w:pPr>
            <w:r>
              <w:rPr>
                <w:b/>
                <w:bCs/>
                <w:color w:val="000000"/>
                <w:sz w:val="22"/>
                <w:szCs w:val="22"/>
                <w:lang w:val="en-US"/>
              </w:rPr>
              <w:t xml:space="preserve">Budget by Source </w:t>
            </w:r>
          </w:p>
          <w:p w:rsidR="007D3BF8" w:rsidRPr="00CC5F89" w:rsidRDefault="007D3BF8" w:rsidP="002E1E90">
            <w:pPr>
              <w:jc w:val="center"/>
              <w:rPr>
                <w:b/>
                <w:bCs/>
                <w:color w:val="000000"/>
                <w:sz w:val="22"/>
                <w:szCs w:val="22"/>
                <w:lang w:val="en-US"/>
              </w:rPr>
            </w:pPr>
            <w:r>
              <w:rPr>
                <w:b/>
                <w:bCs/>
                <w:color w:val="000000"/>
                <w:sz w:val="22"/>
                <w:szCs w:val="22"/>
                <w:lang w:val="en-US"/>
              </w:rPr>
              <w:t>R</w:t>
            </w:r>
          </w:p>
        </w:tc>
        <w:tc>
          <w:tcPr>
            <w:tcW w:w="1312" w:type="dxa"/>
            <w:tcBorders>
              <w:top w:val="single" w:sz="4" w:space="0" w:color="auto"/>
              <w:left w:val="single" w:sz="8" w:space="0" w:color="000000"/>
              <w:bottom w:val="nil"/>
              <w:right w:val="single" w:sz="4" w:space="0" w:color="auto"/>
            </w:tcBorders>
            <w:shd w:val="clear" w:color="auto" w:fill="auto"/>
            <w:vAlign w:val="center"/>
          </w:tcPr>
          <w:p w:rsidR="007D3BF8" w:rsidRPr="00CC5F89" w:rsidRDefault="007D3BF8" w:rsidP="00AC6D26">
            <w:pPr>
              <w:jc w:val="center"/>
              <w:rPr>
                <w:b/>
                <w:bCs/>
                <w:color w:val="000000"/>
                <w:sz w:val="22"/>
                <w:szCs w:val="22"/>
                <w:lang w:val="en-US"/>
              </w:rPr>
            </w:pPr>
            <w:r w:rsidRPr="00CC5F89">
              <w:rPr>
                <w:b/>
                <w:bCs/>
                <w:color w:val="000000"/>
                <w:sz w:val="22"/>
                <w:szCs w:val="22"/>
                <w:lang w:val="en-US"/>
              </w:rPr>
              <w:t>BUDGET  1</w:t>
            </w:r>
            <w:r>
              <w:rPr>
                <w:b/>
                <w:bCs/>
                <w:color w:val="000000"/>
                <w:sz w:val="22"/>
                <w:szCs w:val="22"/>
                <w:lang w:val="en-US"/>
              </w:rPr>
              <w:t>7</w:t>
            </w:r>
            <w:r w:rsidRPr="00CC5F89">
              <w:rPr>
                <w:b/>
                <w:bCs/>
                <w:color w:val="000000"/>
                <w:sz w:val="22"/>
                <w:szCs w:val="22"/>
                <w:lang w:val="en-US"/>
              </w:rPr>
              <w:t>/1</w:t>
            </w:r>
            <w:r>
              <w:rPr>
                <w:b/>
                <w:bCs/>
                <w:color w:val="000000"/>
                <w:sz w:val="22"/>
                <w:szCs w:val="22"/>
                <w:lang w:val="en-US"/>
              </w:rPr>
              <w:t>8</w:t>
            </w:r>
          </w:p>
          <w:p w:rsidR="007D3BF8" w:rsidRPr="00CC5F89" w:rsidRDefault="007D3BF8" w:rsidP="00AC6D26">
            <w:pPr>
              <w:jc w:val="center"/>
              <w:rPr>
                <w:b/>
                <w:bCs/>
                <w:color w:val="000000"/>
                <w:sz w:val="22"/>
                <w:szCs w:val="22"/>
                <w:lang w:val="en-US"/>
              </w:rPr>
            </w:pPr>
            <w:r>
              <w:rPr>
                <w:b/>
                <w:bCs/>
                <w:color w:val="000000"/>
                <w:sz w:val="22"/>
                <w:szCs w:val="22"/>
                <w:lang w:val="en-US"/>
              </w:rPr>
              <w:t xml:space="preserve"> R</w:t>
            </w:r>
          </w:p>
        </w:tc>
        <w:tc>
          <w:tcPr>
            <w:tcW w:w="866" w:type="dxa"/>
            <w:tcBorders>
              <w:top w:val="single" w:sz="4" w:space="0" w:color="auto"/>
              <w:left w:val="single" w:sz="8" w:space="0" w:color="000000"/>
              <w:bottom w:val="nil"/>
              <w:right w:val="single" w:sz="4" w:space="0" w:color="auto"/>
            </w:tcBorders>
          </w:tcPr>
          <w:p w:rsidR="007D3BF8" w:rsidRPr="00CC5F89" w:rsidRDefault="007D3BF8" w:rsidP="00AC6D26">
            <w:pPr>
              <w:jc w:val="center"/>
              <w:rPr>
                <w:b/>
                <w:bCs/>
                <w:color w:val="000000"/>
                <w:sz w:val="22"/>
                <w:szCs w:val="22"/>
                <w:lang w:val="en-US"/>
              </w:rPr>
            </w:pPr>
            <w:r>
              <w:rPr>
                <w:b/>
                <w:bCs/>
                <w:color w:val="000000"/>
                <w:sz w:val="22"/>
                <w:szCs w:val="22"/>
                <w:lang w:val="en-US"/>
              </w:rPr>
              <w:t>%</w:t>
            </w:r>
          </w:p>
        </w:tc>
      </w:tr>
      <w:tr w:rsidR="007D3BF8" w:rsidRPr="00CC5F89" w:rsidTr="007D3BF8">
        <w:trPr>
          <w:trHeight w:val="313"/>
        </w:trPr>
        <w:tc>
          <w:tcPr>
            <w:tcW w:w="5724" w:type="dxa"/>
            <w:tcBorders>
              <w:top w:val="nil"/>
              <w:left w:val="single" w:sz="4" w:space="0" w:color="auto"/>
              <w:bottom w:val="single" w:sz="8" w:space="0" w:color="000000"/>
              <w:right w:val="single" w:sz="8" w:space="0" w:color="000000"/>
            </w:tcBorders>
            <w:shd w:val="clear" w:color="auto" w:fill="auto"/>
            <w:noWrap/>
            <w:vAlign w:val="center"/>
          </w:tcPr>
          <w:p w:rsidR="007D3BF8" w:rsidRPr="00CC5F89" w:rsidRDefault="007D3BF8" w:rsidP="002E1E90">
            <w:pPr>
              <w:rPr>
                <w:b/>
                <w:bCs/>
                <w:color w:val="000000"/>
                <w:sz w:val="22"/>
                <w:szCs w:val="22"/>
                <w:u w:val="single"/>
                <w:lang w:val="en-US"/>
              </w:rPr>
            </w:pPr>
            <w:r w:rsidRPr="00CC5F89">
              <w:rPr>
                <w:b/>
                <w:bCs/>
                <w:color w:val="000000"/>
                <w:sz w:val="22"/>
                <w:szCs w:val="22"/>
                <w:u w:val="single"/>
                <w:lang w:val="en-US"/>
              </w:rPr>
              <w:t>A.  OPERATING REVENUE</w:t>
            </w:r>
            <w:r>
              <w:rPr>
                <w:b/>
                <w:bCs/>
                <w:color w:val="000000"/>
                <w:sz w:val="22"/>
                <w:szCs w:val="22"/>
                <w:u w:val="single"/>
                <w:lang w:val="en-US"/>
              </w:rPr>
              <w:t xml:space="preserve"> BY SOURCE</w:t>
            </w:r>
          </w:p>
        </w:tc>
        <w:tc>
          <w:tcPr>
            <w:tcW w:w="1404" w:type="dxa"/>
            <w:tcBorders>
              <w:top w:val="nil"/>
              <w:left w:val="nil"/>
              <w:bottom w:val="single" w:sz="8" w:space="0" w:color="000000"/>
              <w:right w:val="single" w:sz="8" w:space="0" w:color="000000"/>
            </w:tcBorders>
            <w:shd w:val="clear" w:color="auto" w:fill="auto"/>
            <w:noWrap/>
            <w:vAlign w:val="center"/>
          </w:tcPr>
          <w:p w:rsidR="007D3BF8" w:rsidRPr="00CC5F89" w:rsidRDefault="007D3BF8" w:rsidP="002E1E90">
            <w:pPr>
              <w:rPr>
                <w:b/>
                <w:bCs/>
                <w:color w:val="000000"/>
                <w:sz w:val="22"/>
                <w:szCs w:val="22"/>
                <w:u w:val="single"/>
                <w:lang w:val="en-US"/>
              </w:rPr>
            </w:pPr>
          </w:p>
        </w:tc>
        <w:tc>
          <w:tcPr>
            <w:tcW w:w="1312" w:type="dxa"/>
            <w:tcBorders>
              <w:top w:val="nil"/>
              <w:left w:val="single" w:sz="8" w:space="0" w:color="000000"/>
              <w:bottom w:val="single" w:sz="8" w:space="0" w:color="000000"/>
              <w:right w:val="single" w:sz="4" w:space="0" w:color="auto"/>
            </w:tcBorders>
            <w:shd w:val="clear" w:color="auto" w:fill="auto"/>
            <w:noWrap/>
            <w:vAlign w:val="center"/>
          </w:tcPr>
          <w:p w:rsidR="007D3BF8" w:rsidRPr="00CC5F89" w:rsidRDefault="007D3BF8" w:rsidP="002E1E90">
            <w:pPr>
              <w:rPr>
                <w:color w:val="000000"/>
                <w:sz w:val="22"/>
                <w:szCs w:val="22"/>
                <w:lang w:val="en-US"/>
              </w:rPr>
            </w:pPr>
            <w:r w:rsidRPr="00CC5F89">
              <w:rPr>
                <w:color w:val="000000"/>
                <w:sz w:val="22"/>
                <w:szCs w:val="22"/>
                <w:lang w:val="en-US"/>
              </w:rPr>
              <w:t> </w:t>
            </w:r>
          </w:p>
        </w:tc>
        <w:tc>
          <w:tcPr>
            <w:tcW w:w="866" w:type="dxa"/>
            <w:tcBorders>
              <w:top w:val="nil"/>
              <w:left w:val="single" w:sz="8" w:space="0" w:color="000000"/>
              <w:bottom w:val="single" w:sz="8" w:space="0" w:color="000000"/>
              <w:right w:val="single" w:sz="4" w:space="0" w:color="auto"/>
            </w:tcBorders>
          </w:tcPr>
          <w:p w:rsidR="007D3BF8" w:rsidRPr="00CC5F89" w:rsidRDefault="007D3BF8" w:rsidP="002E1E90">
            <w:pPr>
              <w:rPr>
                <w:color w:val="000000"/>
                <w:sz w:val="22"/>
                <w:szCs w:val="22"/>
                <w:lang w:val="en-US"/>
              </w:rPr>
            </w:pPr>
          </w:p>
        </w:tc>
      </w:tr>
      <w:tr w:rsidR="007D3BF8" w:rsidRPr="00CC5F89" w:rsidTr="007D3BF8">
        <w:trPr>
          <w:trHeight w:val="313"/>
        </w:trPr>
        <w:tc>
          <w:tcPr>
            <w:tcW w:w="5724" w:type="dxa"/>
            <w:tcBorders>
              <w:top w:val="single" w:sz="8" w:space="0" w:color="000000"/>
              <w:left w:val="single" w:sz="4" w:space="0" w:color="auto"/>
              <w:right w:val="single" w:sz="8" w:space="0" w:color="000000"/>
            </w:tcBorders>
            <w:shd w:val="clear" w:color="auto" w:fill="auto"/>
            <w:noWrap/>
            <w:vAlign w:val="center"/>
          </w:tcPr>
          <w:p w:rsidR="007D3BF8" w:rsidRPr="007D3BF8" w:rsidRDefault="007D3BF8" w:rsidP="002E1E90">
            <w:pPr>
              <w:rPr>
                <w:i/>
                <w:color w:val="000000"/>
                <w:sz w:val="22"/>
                <w:szCs w:val="22"/>
                <w:u w:val="single"/>
                <w:lang w:val="en-US"/>
              </w:rPr>
            </w:pPr>
            <w:r w:rsidRPr="007D3BF8">
              <w:rPr>
                <w:i/>
                <w:color w:val="000000"/>
                <w:sz w:val="22"/>
                <w:szCs w:val="22"/>
                <w:u w:val="single"/>
                <w:lang w:val="en-US"/>
              </w:rPr>
              <w:t>Rental Of Facilities And Equipment</w:t>
            </w:r>
          </w:p>
        </w:tc>
        <w:tc>
          <w:tcPr>
            <w:tcW w:w="1404" w:type="dxa"/>
            <w:tcBorders>
              <w:top w:val="single" w:sz="8" w:space="0" w:color="000000"/>
              <w:left w:val="nil"/>
              <w:right w:val="single" w:sz="8" w:space="0" w:color="000000"/>
            </w:tcBorders>
            <w:shd w:val="clear" w:color="auto" w:fill="auto"/>
            <w:noWrap/>
            <w:vAlign w:val="center"/>
          </w:tcPr>
          <w:p w:rsidR="007D3BF8" w:rsidRPr="007D3BF8" w:rsidRDefault="007D3BF8" w:rsidP="002E1E90">
            <w:pPr>
              <w:jc w:val="right"/>
              <w:rPr>
                <w:i/>
                <w:sz w:val="22"/>
                <w:szCs w:val="22"/>
                <w:lang w:val="en-US"/>
              </w:rPr>
            </w:pPr>
          </w:p>
        </w:tc>
        <w:tc>
          <w:tcPr>
            <w:tcW w:w="1312" w:type="dxa"/>
            <w:tcBorders>
              <w:top w:val="single" w:sz="8" w:space="0" w:color="000000"/>
              <w:left w:val="single" w:sz="8" w:space="0" w:color="000000"/>
              <w:right w:val="single" w:sz="4" w:space="0" w:color="auto"/>
            </w:tcBorders>
            <w:shd w:val="clear" w:color="auto" w:fill="auto"/>
            <w:noWrap/>
            <w:vAlign w:val="center"/>
          </w:tcPr>
          <w:p w:rsidR="007D3BF8" w:rsidRPr="007D3BF8" w:rsidRDefault="007D3BF8" w:rsidP="000B16C7">
            <w:pPr>
              <w:jc w:val="right"/>
              <w:rPr>
                <w:i/>
                <w:sz w:val="22"/>
                <w:szCs w:val="22"/>
                <w:lang w:val="en-US"/>
              </w:rPr>
            </w:pPr>
            <w:r w:rsidRPr="007D3BF8">
              <w:rPr>
                <w:i/>
                <w:sz w:val="22"/>
                <w:szCs w:val="22"/>
                <w:lang w:val="en-US"/>
              </w:rPr>
              <w:t>8,620,490</w:t>
            </w:r>
          </w:p>
        </w:tc>
        <w:tc>
          <w:tcPr>
            <w:tcW w:w="866" w:type="dxa"/>
            <w:tcBorders>
              <w:top w:val="single" w:sz="8" w:space="0" w:color="000000"/>
              <w:left w:val="single" w:sz="8" w:space="0" w:color="000000"/>
              <w:right w:val="single" w:sz="4" w:space="0" w:color="auto"/>
            </w:tcBorders>
          </w:tcPr>
          <w:p w:rsidR="007D3BF8" w:rsidRPr="007D3BF8" w:rsidRDefault="007D3BF8" w:rsidP="000B16C7">
            <w:pPr>
              <w:jc w:val="right"/>
              <w:rPr>
                <w:i/>
                <w:sz w:val="22"/>
                <w:szCs w:val="22"/>
                <w:lang w:val="en-US"/>
              </w:rPr>
            </w:pPr>
            <w:r>
              <w:rPr>
                <w:i/>
                <w:sz w:val="22"/>
                <w:szCs w:val="22"/>
                <w:lang w:val="en-US"/>
              </w:rPr>
              <w:t>2.36%</w:t>
            </w:r>
          </w:p>
        </w:tc>
      </w:tr>
      <w:tr w:rsidR="007D3BF8" w:rsidRPr="00CC5F89" w:rsidTr="007D3BF8">
        <w:trPr>
          <w:trHeight w:val="313"/>
        </w:trPr>
        <w:tc>
          <w:tcPr>
            <w:tcW w:w="5724" w:type="dxa"/>
            <w:tcBorders>
              <w:top w:val="single" w:sz="8" w:space="0" w:color="000000"/>
              <w:left w:val="single" w:sz="4" w:space="0" w:color="auto"/>
              <w:right w:val="single" w:sz="8" w:space="0" w:color="000000"/>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Fresh Produce Market</w:t>
            </w:r>
          </w:p>
        </w:tc>
        <w:tc>
          <w:tcPr>
            <w:tcW w:w="1404" w:type="dxa"/>
            <w:tcBorders>
              <w:top w:val="single" w:sz="8" w:space="0" w:color="000000"/>
              <w:left w:val="nil"/>
              <w:right w:val="single" w:sz="8" w:space="0" w:color="000000"/>
            </w:tcBorders>
            <w:shd w:val="clear" w:color="auto" w:fill="auto"/>
            <w:noWrap/>
            <w:vAlign w:val="center"/>
          </w:tcPr>
          <w:p w:rsidR="007D3BF8" w:rsidRPr="00CC5F89" w:rsidRDefault="007D3BF8" w:rsidP="00477540">
            <w:pPr>
              <w:jc w:val="right"/>
              <w:rPr>
                <w:sz w:val="22"/>
                <w:szCs w:val="22"/>
                <w:lang w:val="en-US"/>
              </w:rPr>
            </w:pPr>
            <w:r>
              <w:rPr>
                <w:sz w:val="22"/>
                <w:szCs w:val="22"/>
                <w:lang w:val="en-US"/>
              </w:rPr>
              <w:t>8,000,000</w:t>
            </w:r>
          </w:p>
        </w:tc>
        <w:tc>
          <w:tcPr>
            <w:tcW w:w="1312" w:type="dxa"/>
            <w:tcBorders>
              <w:top w:val="single" w:sz="8" w:space="0" w:color="000000"/>
              <w:left w:val="single" w:sz="8" w:space="0" w:color="000000"/>
              <w:right w:val="single" w:sz="4" w:space="0" w:color="auto"/>
            </w:tcBorders>
            <w:shd w:val="clear" w:color="auto" w:fill="auto"/>
            <w:noWrap/>
            <w:vAlign w:val="center"/>
          </w:tcPr>
          <w:p w:rsidR="007D3BF8" w:rsidRDefault="007D3BF8" w:rsidP="00304232">
            <w:pPr>
              <w:jc w:val="right"/>
              <w:rPr>
                <w:sz w:val="22"/>
                <w:szCs w:val="22"/>
                <w:lang w:val="en-US"/>
              </w:rPr>
            </w:pPr>
          </w:p>
        </w:tc>
        <w:tc>
          <w:tcPr>
            <w:tcW w:w="866" w:type="dxa"/>
            <w:tcBorders>
              <w:top w:val="single" w:sz="8" w:space="0" w:color="000000"/>
              <w:left w:val="single" w:sz="8" w:space="0" w:color="000000"/>
              <w:right w:val="single" w:sz="4" w:space="0" w:color="auto"/>
            </w:tcBorders>
          </w:tcPr>
          <w:p w:rsidR="007D3BF8" w:rsidRDefault="007D3BF8" w:rsidP="00304232">
            <w:pPr>
              <w:jc w:val="right"/>
              <w:rPr>
                <w:sz w:val="22"/>
                <w:szCs w:val="22"/>
                <w:lang w:val="en-US"/>
              </w:rPr>
            </w:pPr>
          </w:p>
        </w:tc>
      </w:tr>
      <w:tr w:rsidR="007D3BF8" w:rsidRPr="00CC5F89" w:rsidTr="007D3BF8">
        <w:trPr>
          <w:trHeight w:val="313"/>
        </w:trPr>
        <w:tc>
          <w:tcPr>
            <w:tcW w:w="5724" w:type="dxa"/>
            <w:tcBorders>
              <w:left w:val="single" w:sz="4" w:space="0" w:color="auto"/>
              <w:bottom w:val="nil"/>
              <w:right w:val="single" w:sz="8" w:space="0" w:color="000000"/>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Maintenance &amp; Cleaning</w:t>
            </w:r>
          </w:p>
        </w:tc>
        <w:tc>
          <w:tcPr>
            <w:tcW w:w="1404" w:type="dxa"/>
            <w:tcBorders>
              <w:left w:val="nil"/>
              <w:bottom w:val="nil"/>
              <w:right w:val="single" w:sz="8" w:space="0" w:color="000000"/>
            </w:tcBorders>
            <w:shd w:val="clear" w:color="auto" w:fill="auto"/>
            <w:noWrap/>
            <w:vAlign w:val="center"/>
          </w:tcPr>
          <w:p w:rsidR="007D3BF8" w:rsidRPr="00CC5F89" w:rsidRDefault="007D3BF8" w:rsidP="00304232">
            <w:pPr>
              <w:jc w:val="right"/>
              <w:rPr>
                <w:sz w:val="22"/>
                <w:szCs w:val="22"/>
                <w:lang w:val="en-US"/>
              </w:rPr>
            </w:pPr>
            <w:r>
              <w:rPr>
                <w:sz w:val="22"/>
                <w:szCs w:val="22"/>
                <w:lang w:val="en-US"/>
              </w:rPr>
              <w:t>484,800</w:t>
            </w:r>
          </w:p>
        </w:tc>
        <w:tc>
          <w:tcPr>
            <w:tcW w:w="1312" w:type="dxa"/>
            <w:tcBorders>
              <w:left w:val="single" w:sz="8" w:space="0" w:color="000000"/>
              <w:bottom w:val="nil"/>
              <w:right w:val="single" w:sz="4" w:space="0" w:color="auto"/>
            </w:tcBorders>
            <w:shd w:val="clear" w:color="auto" w:fill="auto"/>
            <w:noWrap/>
            <w:vAlign w:val="center"/>
          </w:tcPr>
          <w:p w:rsidR="007D3BF8" w:rsidRPr="00CC5F89" w:rsidRDefault="007D3BF8" w:rsidP="00304232">
            <w:pPr>
              <w:jc w:val="right"/>
              <w:rPr>
                <w:sz w:val="22"/>
                <w:szCs w:val="22"/>
                <w:lang w:val="en-US"/>
              </w:rPr>
            </w:pPr>
          </w:p>
        </w:tc>
        <w:tc>
          <w:tcPr>
            <w:tcW w:w="866" w:type="dxa"/>
            <w:tcBorders>
              <w:left w:val="single" w:sz="8" w:space="0" w:color="000000"/>
              <w:bottom w:val="nil"/>
              <w:right w:val="single" w:sz="4" w:space="0" w:color="auto"/>
            </w:tcBorders>
          </w:tcPr>
          <w:p w:rsidR="007D3BF8" w:rsidRPr="00CC5F89" w:rsidRDefault="007D3BF8" w:rsidP="00304232">
            <w:pPr>
              <w:jc w:val="right"/>
              <w:rPr>
                <w:sz w:val="22"/>
                <w:szCs w:val="22"/>
                <w:lang w:val="en-US"/>
              </w:rPr>
            </w:pPr>
          </w:p>
        </w:tc>
      </w:tr>
      <w:tr w:rsidR="007D3BF8" w:rsidRPr="00CC5F89" w:rsidTr="007D3BF8">
        <w:trPr>
          <w:trHeight w:val="313"/>
        </w:trPr>
        <w:tc>
          <w:tcPr>
            <w:tcW w:w="5724" w:type="dxa"/>
            <w:tcBorders>
              <w:left w:val="single" w:sz="4" w:space="0" w:color="auto"/>
              <w:bottom w:val="nil"/>
              <w:right w:val="single" w:sz="8" w:space="0" w:color="000000"/>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Heritage</w:t>
            </w:r>
            <w:r>
              <w:rPr>
                <w:color w:val="000000"/>
                <w:sz w:val="22"/>
                <w:szCs w:val="22"/>
                <w:lang w:val="en-US"/>
              </w:rPr>
              <w:t xml:space="preserve"> (Tek</w:t>
            </w:r>
            <w:r w:rsidRPr="00CC5F89">
              <w:rPr>
                <w:color w:val="000000"/>
                <w:sz w:val="22"/>
                <w:szCs w:val="22"/>
                <w:lang w:val="en-US"/>
              </w:rPr>
              <w:t>norama Sales)</w:t>
            </w:r>
          </w:p>
        </w:tc>
        <w:tc>
          <w:tcPr>
            <w:tcW w:w="1404" w:type="dxa"/>
            <w:tcBorders>
              <w:left w:val="nil"/>
              <w:bottom w:val="nil"/>
              <w:right w:val="single" w:sz="8" w:space="0" w:color="000000"/>
            </w:tcBorders>
            <w:shd w:val="clear" w:color="auto" w:fill="auto"/>
            <w:noWrap/>
            <w:vAlign w:val="center"/>
          </w:tcPr>
          <w:p w:rsidR="007D3BF8" w:rsidRPr="00CC5F89" w:rsidRDefault="007D3BF8" w:rsidP="00304232">
            <w:pPr>
              <w:jc w:val="right"/>
              <w:rPr>
                <w:sz w:val="22"/>
                <w:szCs w:val="22"/>
                <w:lang w:val="en-US"/>
              </w:rPr>
            </w:pPr>
            <w:r>
              <w:rPr>
                <w:sz w:val="22"/>
                <w:szCs w:val="22"/>
                <w:lang w:val="en-US"/>
              </w:rPr>
              <w:t>16,960</w:t>
            </w:r>
          </w:p>
        </w:tc>
        <w:tc>
          <w:tcPr>
            <w:tcW w:w="1312" w:type="dxa"/>
            <w:tcBorders>
              <w:left w:val="single" w:sz="8" w:space="0" w:color="000000"/>
              <w:bottom w:val="nil"/>
              <w:right w:val="single" w:sz="4" w:space="0" w:color="auto"/>
            </w:tcBorders>
            <w:shd w:val="clear" w:color="auto" w:fill="auto"/>
            <w:noWrap/>
            <w:vAlign w:val="center"/>
          </w:tcPr>
          <w:p w:rsidR="007D3BF8" w:rsidRPr="00CC5F89" w:rsidRDefault="007D3BF8" w:rsidP="00304232">
            <w:pPr>
              <w:jc w:val="right"/>
              <w:rPr>
                <w:sz w:val="22"/>
                <w:szCs w:val="22"/>
                <w:lang w:val="en-US"/>
              </w:rPr>
            </w:pPr>
          </w:p>
        </w:tc>
        <w:tc>
          <w:tcPr>
            <w:tcW w:w="866" w:type="dxa"/>
            <w:tcBorders>
              <w:left w:val="single" w:sz="8" w:space="0" w:color="000000"/>
              <w:bottom w:val="nil"/>
              <w:right w:val="single" w:sz="4" w:space="0" w:color="auto"/>
            </w:tcBorders>
          </w:tcPr>
          <w:p w:rsidR="007D3BF8" w:rsidRPr="00CC5F89" w:rsidRDefault="007D3BF8" w:rsidP="00304232">
            <w:pPr>
              <w:jc w:val="right"/>
              <w:rPr>
                <w:sz w:val="22"/>
                <w:szCs w:val="22"/>
                <w:lang w:val="en-US"/>
              </w:rPr>
            </w:pPr>
          </w:p>
        </w:tc>
      </w:tr>
      <w:tr w:rsidR="007D3BF8" w:rsidRPr="00CC5F89" w:rsidTr="007D3BF8">
        <w:trPr>
          <w:trHeight w:val="313"/>
        </w:trPr>
        <w:tc>
          <w:tcPr>
            <w:tcW w:w="5724" w:type="dxa"/>
            <w:tcBorders>
              <w:top w:val="nil"/>
              <w:left w:val="single" w:sz="4" w:space="0" w:color="auto"/>
              <w:bottom w:val="nil"/>
              <w:right w:val="single" w:sz="8" w:space="0" w:color="000000"/>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Vereeniging Theatre</w:t>
            </w:r>
          </w:p>
        </w:tc>
        <w:tc>
          <w:tcPr>
            <w:tcW w:w="1404" w:type="dxa"/>
            <w:tcBorders>
              <w:top w:val="nil"/>
              <w:left w:val="nil"/>
              <w:bottom w:val="nil"/>
              <w:right w:val="single" w:sz="8" w:space="0" w:color="000000"/>
            </w:tcBorders>
            <w:shd w:val="clear" w:color="auto" w:fill="auto"/>
            <w:noWrap/>
            <w:vAlign w:val="center"/>
          </w:tcPr>
          <w:p w:rsidR="007D3BF8" w:rsidRPr="00CC5F89" w:rsidRDefault="007D3BF8" w:rsidP="00304232">
            <w:pPr>
              <w:jc w:val="right"/>
              <w:rPr>
                <w:sz w:val="22"/>
                <w:szCs w:val="22"/>
                <w:lang w:val="en-US"/>
              </w:rPr>
            </w:pPr>
            <w:r>
              <w:rPr>
                <w:sz w:val="22"/>
                <w:szCs w:val="22"/>
                <w:lang w:val="en-US"/>
              </w:rPr>
              <w:t>93,000</w:t>
            </w:r>
          </w:p>
        </w:tc>
        <w:tc>
          <w:tcPr>
            <w:tcW w:w="1312" w:type="dxa"/>
            <w:tcBorders>
              <w:top w:val="nil"/>
              <w:left w:val="single" w:sz="8" w:space="0" w:color="000000"/>
              <w:bottom w:val="nil"/>
              <w:right w:val="single" w:sz="4" w:space="0" w:color="auto"/>
            </w:tcBorders>
            <w:shd w:val="clear" w:color="auto" w:fill="auto"/>
            <w:noWrap/>
            <w:vAlign w:val="center"/>
          </w:tcPr>
          <w:p w:rsidR="007D3BF8" w:rsidRPr="00CC5F89" w:rsidRDefault="007D3BF8" w:rsidP="00304232">
            <w:pPr>
              <w:jc w:val="right"/>
              <w:rPr>
                <w:sz w:val="22"/>
                <w:szCs w:val="22"/>
                <w:lang w:val="en-US"/>
              </w:rPr>
            </w:pPr>
          </w:p>
        </w:tc>
        <w:tc>
          <w:tcPr>
            <w:tcW w:w="866" w:type="dxa"/>
            <w:tcBorders>
              <w:top w:val="nil"/>
              <w:left w:val="single" w:sz="8" w:space="0" w:color="000000"/>
              <w:bottom w:val="nil"/>
              <w:right w:val="single" w:sz="4" w:space="0" w:color="auto"/>
            </w:tcBorders>
          </w:tcPr>
          <w:p w:rsidR="007D3BF8" w:rsidRPr="00CC5F89" w:rsidRDefault="007D3BF8" w:rsidP="00304232">
            <w:pPr>
              <w:jc w:val="right"/>
              <w:rPr>
                <w:sz w:val="22"/>
                <w:szCs w:val="22"/>
                <w:lang w:val="en-US"/>
              </w:rPr>
            </w:pPr>
          </w:p>
        </w:tc>
      </w:tr>
      <w:tr w:rsidR="007D3BF8" w:rsidRPr="00CC5F89" w:rsidTr="007D3BF8">
        <w:trPr>
          <w:trHeight w:val="313"/>
        </w:trPr>
        <w:tc>
          <w:tcPr>
            <w:tcW w:w="5724" w:type="dxa"/>
            <w:tcBorders>
              <w:top w:val="nil"/>
              <w:left w:val="single" w:sz="4" w:space="0" w:color="auto"/>
              <w:bottom w:val="single" w:sz="8" w:space="0" w:color="000000"/>
              <w:right w:val="single" w:sz="8" w:space="0" w:color="000000"/>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Mphatlalatsane Theatre</w:t>
            </w:r>
          </w:p>
        </w:tc>
        <w:tc>
          <w:tcPr>
            <w:tcW w:w="1404" w:type="dxa"/>
            <w:tcBorders>
              <w:top w:val="nil"/>
              <w:left w:val="nil"/>
              <w:bottom w:val="single" w:sz="8" w:space="0" w:color="000000"/>
              <w:right w:val="single" w:sz="8" w:space="0" w:color="000000"/>
            </w:tcBorders>
            <w:shd w:val="clear" w:color="auto" w:fill="auto"/>
            <w:noWrap/>
            <w:vAlign w:val="center"/>
          </w:tcPr>
          <w:p w:rsidR="007D3BF8" w:rsidRPr="00CC5F89" w:rsidRDefault="007D3BF8" w:rsidP="00304232">
            <w:pPr>
              <w:jc w:val="right"/>
              <w:rPr>
                <w:sz w:val="22"/>
                <w:szCs w:val="22"/>
                <w:lang w:val="en-US"/>
              </w:rPr>
            </w:pPr>
            <w:r>
              <w:rPr>
                <w:sz w:val="22"/>
                <w:szCs w:val="22"/>
                <w:lang w:val="en-US"/>
              </w:rPr>
              <w:t>26,000</w:t>
            </w:r>
          </w:p>
        </w:tc>
        <w:tc>
          <w:tcPr>
            <w:tcW w:w="1312" w:type="dxa"/>
            <w:tcBorders>
              <w:top w:val="nil"/>
              <w:left w:val="single" w:sz="8" w:space="0" w:color="000000"/>
              <w:bottom w:val="single" w:sz="8" w:space="0" w:color="000000"/>
              <w:right w:val="single" w:sz="4" w:space="0" w:color="auto"/>
            </w:tcBorders>
            <w:shd w:val="clear" w:color="auto" w:fill="auto"/>
            <w:noWrap/>
            <w:vAlign w:val="center"/>
          </w:tcPr>
          <w:p w:rsidR="007D3BF8" w:rsidRPr="00CC5F89" w:rsidRDefault="007D3BF8" w:rsidP="00304232">
            <w:pPr>
              <w:jc w:val="right"/>
              <w:rPr>
                <w:sz w:val="22"/>
                <w:szCs w:val="22"/>
                <w:lang w:val="en-US"/>
              </w:rPr>
            </w:pPr>
          </w:p>
        </w:tc>
        <w:tc>
          <w:tcPr>
            <w:tcW w:w="866" w:type="dxa"/>
            <w:tcBorders>
              <w:top w:val="nil"/>
              <w:left w:val="single" w:sz="8" w:space="0" w:color="000000"/>
              <w:bottom w:val="single" w:sz="8" w:space="0" w:color="000000"/>
              <w:right w:val="single" w:sz="4" w:space="0" w:color="auto"/>
            </w:tcBorders>
          </w:tcPr>
          <w:p w:rsidR="007D3BF8" w:rsidRPr="00CC5F89" w:rsidRDefault="007D3BF8" w:rsidP="00304232">
            <w:pPr>
              <w:jc w:val="right"/>
              <w:rPr>
                <w:sz w:val="22"/>
                <w:szCs w:val="22"/>
                <w:lang w:val="en-US"/>
              </w:rPr>
            </w:pPr>
          </w:p>
        </w:tc>
      </w:tr>
      <w:tr w:rsidR="007D3BF8" w:rsidRPr="00CC5F89" w:rsidTr="007D3BF8">
        <w:trPr>
          <w:trHeight w:val="313"/>
        </w:trPr>
        <w:tc>
          <w:tcPr>
            <w:tcW w:w="5724" w:type="dxa"/>
            <w:tcBorders>
              <w:top w:val="single" w:sz="8" w:space="0" w:color="000000"/>
              <w:left w:val="single" w:sz="4" w:space="0" w:color="auto"/>
              <w:bottom w:val="single" w:sz="8" w:space="0" w:color="auto"/>
              <w:right w:val="single" w:sz="8" w:space="0" w:color="000000"/>
            </w:tcBorders>
            <w:shd w:val="clear" w:color="auto" w:fill="auto"/>
            <w:noWrap/>
            <w:vAlign w:val="center"/>
          </w:tcPr>
          <w:p w:rsidR="007D3BF8" w:rsidRPr="007D3BF8" w:rsidRDefault="007D3BF8" w:rsidP="00304232">
            <w:pPr>
              <w:rPr>
                <w:i/>
                <w:color w:val="000000"/>
                <w:sz w:val="22"/>
                <w:szCs w:val="22"/>
                <w:u w:val="single"/>
                <w:lang w:val="en-US"/>
              </w:rPr>
            </w:pPr>
            <w:r w:rsidRPr="007D3BF8">
              <w:rPr>
                <w:i/>
                <w:color w:val="000000"/>
                <w:sz w:val="22"/>
                <w:szCs w:val="22"/>
                <w:u w:val="single"/>
                <w:lang w:val="en-US"/>
              </w:rPr>
              <w:t>Interest Earned - External Investments</w:t>
            </w:r>
          </w:p>
        </w:tc>
        <w:tc>
          <w:tcPr>
            <w:tcW w:w="1404" w:type="dxa"/>
            <w:tcBorders>
              <w:top w:val="single" w:sz="8" w:space="0" w:color="000000"/>
              <w:left w:val="nil"/>
              <w:bottom w:val="single" w:sz="8" w:space="0" w:color="auto"/>
              <w:right w:val="single" w:sz="8" w:space="0" w:color="000000"/>
            </w:tcBorders>
            <w:shd w:val="clear" w:color="auto" w:fill="auto"/>
            <w:noWrap/>
            <w:vAlign w:val="center"/>
          </w:tcPr>
          <w:p w:rsidR="007D3BF8" w:rsidRPr="007D3BF8" w:rsidRDefault="007D3BF8" w:rsidP="00304232">
            <w:pPr>
              <w:jc w:val="right"/>
              <w:rPr>
                <w:i/>
                <w:sz w:val="22"/>
                <w:szCs w:val="22"/>
                <w:lang w:val="en-US"/>
              </w:rPr>
            </w:pPr>
          </w:p>
        </w:tc>
        <w:tc>
          <w:tcPr>
            <w:tcW w:w="1312" w:type="dxa"/>
            <w:tcBorders>
              <w:top w:val="single" w:sz="8" w:space="0" w:color="000000"/>
              <w:left w:val="single" w:sz="8" w:space="0" w:color="000000"/>
              <w:bottom w:val="single" w:sz="8" w:space="0" w:color="auto"/>
              <w:right w:val="single" w:sz="4" w:space="0" w:color="auto"/>
            </w:tcBorders>
            <w:shd w:val="clear" w:color="auto" w:fill="auto"/>
            <w:noWrap/>
            <w:vAlign w:val="center"/>
          </w:tcPr>
          <w:p w:rsidR="007D3BF8" w:rsidRPr="007D3BF8" w:rsidRDefault="007D3BF8" w:rsidP="00304232">
            <w:pPr>
              <w:jc w:val="right"/>
              <w:rPr>
                <w:i/>
                <w:sz w:val="22"/>
                <w:szCs w:val="22"/>
                <w:lang w:val="en-US"/>
              </w:rPr>
            </w:pPr>
            <w:r w:rsidRPr="007D3BF8">
              <w:rPr>
                <w:i/>
                <w:sz w:val="22"/>
                <w:szCs w:val="22"/>
                <w:lang w:val="en-US"/>
              </w:rPr>
              <w:t>1,680,000</w:t>
            </w:r>
          </w:p>
        </w:tc>
        <w:tc>
          <w:tcPr>
            <w:tcW w:w="866" w:type="dxa"/>
            <w:tcBorders>
              <w:top w:val="single" w:sz="8" w:space="0" w:color="000000"/>
              <w:left w:val="single" w:sz="8" w:space="0" w:color="000000"/>
              <w:bottom w:val="single" w:sz="8" w:space="0" w:color="auto"/>
              <w:right w:val="single" w:sz="4" w:space="0" w:color="auto"/>
            </w:tcBorders>
          </w:tcPr>
          <w:p w:rsidR="007D3BF8" w:rsidRPr="007D3BF8" w:rsidRDefault="007D3BF8" w:rsidP="00304232">
            <w:pPr>
              <w:jc w:val="right"/>
              <w:rPr>
                <w:i/>
                <w:sz w:val="22"/>
                <w:szCs w:val="22"/>
                <w:lang w:val="en-US"/>
              </w:rPr>
            </w:pPr>
            <w:r>
              <w:rPr>
                <w:i/>
                <w:sz w:val="22"/>
                <w:szCs w:val="22"/>
                <w:lang w:val="en-US"/>
              </w:rPr>
              <w:t>0.46%</w:t>
            </w:r>
          </w:p>
        </w:tc>
      </w:tr>
      <w:tr w:rsidR="007D3BF8" w:rsidRPr="00CC5F89" w:rsidTr="007D3BF8">
        <w:trPr>
          <w:trHeight w:val="313"/>
        </w:trPr>
        <w:tc>
          <w:tcPr>
            <w:tcW w:w="5724" w:type="dxa"/>
            <w:tcBorders>
              <w:top w:val="single" w:sz="8" w:space="0" w:color="auto"/>
              <w:left w:val="single" w:sz="4" w:space="0" w:color="auto"/>
              <w:bottom w:val="single" w:sz="8" w:space="0" w:color="auto"/>
              <w:right w:val="single" w:sz="8" w:space="0" w:color="000000"/>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Finance Cluster - Financial Management</w:t>
            </w:r>
          </w:p>
        </w:tc>
        <w:tc>
          <w:tcPr>
            <w:tcW w:w="1404" w:type="dxa"/>
            <w:tcBorders>
              <w:top w:val="single" w:sz="8" w:space="0" w:color="auto"/>
              <w:left w:val="nil"/>
              <w:bottom w:val="single" w:sz="8" w:space="0" w:color="000000"/>
              <w:right w:val="single" w:sz="8" w:space="0" w:color="000000"/>
            </w:tcBorders>
            <w:shd w:val="clear" w:color="auto" w:fill="auto"/>
            <w:noWrap/>
            <w:vAlign w:val="center"/>
          </w:tcPr>
          <w:p w:rsidR="007D3BF8" w:rsidRPr="00CC5F89" w:rsidRDefault="007D3BF8" w:rsidP="00304232">
            <w:pPr>
              <w:jc w:val="right"/>
              <w:rPr>
                <w:sz w:val="22"/>
                <w:szCs w:val="22"/>
                <w:lang w:val="en-US"/>
              </w:rPr>
            </w:pPr>
            <w:r>
              <w:rPr>
                <w:sz w:val="22"/>
                <w:szCs w:val="22"/>
                <w:lang w:val="en-US"/>
              </w:rPr>
              <w:t>1,680,000</w:t>
            </w:r>
          </w:p>
        </w:tc>
        <w:tc>
          <w:tcPr>
            <w:tcW w:w="1312" w:type="dxa"/>
            <w:tcBorders>
              <w:top w:val="single" w:sz="8" w:space="0" w:color="auto"/>
              <w:left w:val="single" w:sz="8" w:space="0" w:color="000000"/>
              <w:bottom w:val="single" w:sz="8" w:space="0" w:color="auto"/>
              <w:right w:val="single" w:sz="4" w:space="0" w:color="auto"/>
            </w:tcBorders>
            <w:shd w:val="clear" w:color="auto" w:fill="auto"/>
            <w:noWrap/>
            <w:vAlign w:val="center"/>
          </w:tcPr>
          <w:p w:rsidR="007D3BF8" w:rsidRPr="00CC5F89" w:rsidRDefault="007D3BF8" w:rsidP="00304232">
            <w:pPr>
              <w:jc w:val="right"/>
              <w:rPr>
                <w:sz w:val="22"/>
                <w:szCs w:val="22"/>
                <w:lang w:val="en-US"/>
              </w:rPr>
            </w:pPr>
          </w:p>
        </w:tc>
        <w:tc>
          <w:tcPr>
            <w:tcW w:w="866" w:type="dxa"/>
            <w:tcBorders>
              <w:top w:val="single" w:sz="8" w:space="0" w:color="auto"/>
              <w:left w:val="single" w:sz="8" w:space="0" w:color="000000"/>
              <w:bottom w:val="single" w:sz="8" w:space="0" w:color="auto"/>
              <w:right w:val="single" w:sz="4" w:space="0" w:color="auto"/>
            </w:tcBorders>
          </w:tcPr>
          <w:p w:rsidR="007D3BF8" w:rsidRPr="00CC5F89" w:rsidRDefault="007D3BF8" w:rsidP="00304232">
            <w:pPr>
              <w:jc w:val="right"/>
              <w:rPr>
                <w:sz w:val="22"/>
                <w:szCs w:val="22"/>
                <w:lang w:val="en-US"/>
              </w:rPr>
            </w:pPr>
          </w:p>
        </w:tc>
      </w:tr>
      <w:tr w:rsidR="007D3BF8" w:rsidRPr="00CC5F89" w:rsidTr="007D3BF8">
        <w:trPr>
          <w:trHeight w:val="313"/>
        </w:trPr>
        <w:tc>
          <w:tcPr>
            <w:tcW w:w="5724" w:type="dxa"/>
            <w:tcBorders>
              <w:top w:val="single" w:sz="8" w:space="0" w:color="auto"/>
              <w:left w:val="single" w:sz="4" w:space="0" w:color="auto"/>
              <w:bottom w:val="single" w:sz="8" w:space="0" w:color="auto"/>
              <w:right w:val="single" w:sz="8" w:space="0" w:color="auto"/>
            </w:tcBorders>
            <w:shd w:val="clear" w:color="auto" w:fill="auto"/>
            <w:noWrap/>
            <w:vAlign w:val="center"/>
          </w:tcPr>
          <w:p w:rsidR="007D3BF8" w:rsidRPr="007D3BF8" w:rsidRDefault="007D3BF8" w:rsidP="00304232">
            <w:pPr>
              <w:rPr>
                <w:i/>
                <w:color w:val="000000"/>
                <w:sz w:val="22"/>
                <w:szCs w:val="22"/>
                <w:u w:val="single"/>
                <w:lang w:val="en-US"/>
              </w:rPr>
            </w:pPr>
            <w:r w:rsidRPr="007D3BF8">
              <w:rPr>
                <w:i/>
                <w:color w:val="000000"/>
                <w:sz w:val="22"/>
                <w:szCs w:val="22"/>
                <w:u w:val="single"/>
                <w:lang w:val="en-US"/>
              </w:rPr>
              <w:t>Licenses And Permits</w:t>
            </w:r>
          </w:p>
        </w:tc>
        <w:tc>
          <w:tcPr>
            <w:tcW w:w="1404" w:type="dxa"/>
            <w:tcBorders>
              <w:top w:val="single" w:sz="8" w:space="0" w:color="000000"/>
              <w:left w:val="single" w:sz="8" w:space="0" w:color="auto"/>
              <w:bottom w:val="single" w:sz="8" w:space="0" w:color="auto"/>
              <w:right w:val="single" w:sz="8" w:space="0" w:color="auto"/>
            </w:tcBorders>
            <w:shd w:val="clear" w:color="auto" w:fill="auto"/>
            <w:noWrap/>
            <w:vAlign w:val="center"/>
          </w:tcPr>
          <w:p w:rsidR="007D3BF8" w:rsidRPr="007D3BF8" w:rsidRDefault="007D3BF8" w:rsidP="00304232">
            <w:pPr>
              <w:jc w:val="right"/>
              <w:rPr>
                <w:i/>
                <w:color w:val="FF0000"/>
                <w:sz w:val="22"/>
                <w:szCs w:val="22"/>
                <w:lang w:val="en-US"/>
              </w:rPr>
            </w:pPr>
          </w:p>
        </w:tc>
        <w:tc>
          <w:tcPr>
            <w:tcW w:w="1312" w:type="dxa"/>
            <w:tcBorders>
              <w:top w:val="single" w:sz="8" w:space="0" w:color="auto"/>
              <w:left w:val="single" w:sz="8" w:space="0" w:color="auto"/>
              <w:bottom w:val="single" w:sz="8" w:space="0" w:color="auto"/>
              <w:right w:val="single" w:sz="4" w:space="0" w:color="auto"/>
            </w:tcBorders>
            <w:shd w:val="clear" w:color="auto" w:fill="auto"/>
            <w:noWrap/>
            <w:vAlign w:val="center"/>
          </w:tcPr>
          <w:p w:rsidR="007D3BF8" w:rsidRPr="007D3BF8" w:rsidRDefault="007D3BF8" w:rsidP="007D3BF8">
            <w:pPr>
              <w:jc w:val="right"/>
              <w:rPr>
                <w:i/>
                <w:sz w:val="22"/>
                <w:szCs w:val="22"/>
                <w:lang w:val="en-US"/>
              </w:rPr>
            </w:pPr>
            <w:r w:rsidRPr="007D3BF8">
              <w:rPr>
                <w:i/>
                <w:sz w:val="22"/>
                <w:szCs w:val="22"/>
                <w:lang w:val="en-US"/>
              </w:rPr>
              <w:t>73,919,504</w:t>
            </w:r>
          </w:p>
        </w:tc>
        <w:tc>
          <w:tcPr>
            <w:tcW w:w="866" w:type="dxa"/>
            <w:tcBorders>
              <w:top w:val="single" w:sz="8" w:space="0" w:color="auto"/>
              <w:left w:val="single" w:sz="8" w:space="0" w:color="auto"/>
              <w:bottom w:val="single" w:sz="8" w:space="0" w:color="auto"/>
              <w:right w:val="single" w:sz="4" w:space="0" w:color="auto"/>
            </w:tcBorders>
          </w:tcPr>
          <w:p w:rsidR="007D3BF8" w:rsidRPr="007D3BF8" w:rsidRDefault="001B6E86" w:rsidP="007D3BF8">
            <w:pPr>
              <w:jc w:val="right"/>
              <w:rPr>
                <w:i/>
                <w:sz w:val="22"/>
                <w:szCs w:val="22"/>
                <w:lang w:val="en-US"/>
              </w:rPr>
            </w:pPr>
            <w:r>
              <w:rPr>
                <w:i/>
                <w:sz w:val="22"/>
                <w:szCs w:val="22"/>
                <w:lang w:val="en-US"/>
              </w:rPr>
              <w:t>20,27%</w:t>
            </w:r>
          </w:p>
        </w:tc>
      </w:tr>
      <w:tr w:rsidR="007D3BF8" w:rsidRPr="00CC5F89" w:rsidTr="007D3BF8">
        <w:trPr>
          <w:trHeight w:val="313"/>
        </w:trPr>
        <w:tc>
          <w:tcPr>
            <w:tcW w:w="5724" w:type="dxa"/>
            <w:tcBorders>
              <w:top w:val="single" w:sz="8" w:space="0" w:color="auto"/>
              <w:left w:val="single" w:sz="4" w:space="0" w:color="auto"/>
              <w:bottom w:val="nil"/>
              <w:right w:val="single" w:sz="8" w:space="0" w:color="auto"/>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License Services Centre - Support</w:t>
            </w:r>
          </w:p>
        </w:tc>
        <w:tc>
          <w:tcPr>
            <w:tcW w:w="1404" w:type="dxa"/>
            <w:tcBorders>
              <w:top w:val="single" w:sz="8" w:space="0" w:color="auto"/>
              <w:left w:val="single" w:sz="8" w:space="0" w:color="auto"/>
              <w:bottom w:val="nil"/>
              <w:right w:val="single" w:sz="8" w:space="0" w:color="auto"/>
            </w:tcBorders>
            <w:shd w:val="clear" w:color="auto" w:fill="auto"/>
            <w:noWrap/>
            <w:vAlign w:val="center"/>
          </w:tcPr>
          <w:p w:rsidR="007D3BF8" w:rsidRPr="00CC5F89" w:rsidRDefault="007D3BF8" w:rsidP="00304232">
            <w:pPr>
              <w:jc w:val="right"/>
              <w:rPr>
                <w:sz w:val="22"/>
                <w:szCs w:val="22"/>
                <w:lang w:val="en-US"/>
              </w:rPr>
            </w:pPr>
            <w:r>
              <w:rPr>
                <w:sz w:val="22"/>
                <w:szCs w:val="22"/>
                <w:lang w:val="en-US"/>
              </w:rPr>
              <w:t>0</w:t>
            </w:r>
          </w:p>
        </w:tc>
        <w:tc>
          <w:tcPr>
            <w:tcW w:w="1312" w:type="dxa"/>
            <w:tcBorders>
              <w:top w:val="single" w:sz="8" w:space="0" w:color="auto"/>
              <w:left w:val="single" w:sz="8" w:space="0" w:color="auto"/>
              <w:bottom w:val="nil"/>
              <w:right w:val="single" w:sz="4" w:space="0" w:color="auto"/>
            </w:tcBorders>
            <w:shd w:val="clear" w:color="auto" w:fill="auto"/>
            <w:noWrap/>
            <w:vAlign w:val="center"/>
          </w:tcPr>
          <w:p w:rsidR="007D3BF8" w:rsidRPr="00CC5F89" w:rsidRDefault="007D3BF8" w:rsidP="00304232">
            <w:pPr>
              <w:jc w:val="right"/>
              <w:rPr>
                <w:color w:val="FF0000"/>
                <w:sz w:val="22"/>
                <w:szCs w:val="22"/>
                <w:lang w:val="en-US"/>
              </w:rPr>
            </w:pPr>
          </w:p>
        </w:tc>
        <w:tc>
          <w:tcPr>
            <w:tcW w:w="866" w:type="dxa"/>
            <w:tcBorders>
              <w:top w:val="single" w:sz="8" w:space="0" w:color="auto"/>
              <w:left w:val="single" w:sz="8" w:space="0" w:color="auto"/>
              <w:bottom w:val="nil"/>
              <w:right w:val="single" w:sz="4" w:space="0" w:color="auto"/>
            </w:tcBorders>
          </w:tcPr>
          <w:p w:rsidR="007D3BF8" w:rsidRPr="00CC5F89" w:rsidRDefault="007D3BF8" w:rsidP="00304232">
            <w:pPr>
              <w:jc w:val="right"/>
              <w:rPr>
                <w:color w:val="FF0000"/>
                <w:sz w:val="22"/>
                <w:szCs w:val="22"/>
                <w:lang w:val="en-US"/>
              </w:rPr>
            </w:pPr>
          </w:p>
        </w:tc>
      </w:tr>
      <w:tr w:rsidR="007D3BF8" w:rsidRPr="00CC5F89" w:rsidTr="007D3BF8">
        <w:trPr>
          <w:trHeight w:val="313"/>
        </w:trPr>
        <w:tc>
          <w:tcPr>
            <w:tcW w:w="5724" w:type="dxa"/>
            <w:tcBorders>
              <w:left w:val="single" w:sz="4" w:space="0" w:color="auto"/>
              <w:bottom w:val="nil"/>
              <w:right w:val="single" w:sz="8" w:space="0" w:color="auto"/>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License Services Centre - Vereeniging</w:t>
            </w:r>
          </w:p>
        </w:tc>
        <w:tc>
          <w:tcPr>
            <w:tcW w:w="1404" w:type="dxa"/>
            <w:tcBorders>
              <w:left w:val="single" w:sz="8" w:space="0" w:color="auto"/>
              <w:bottom w:val="nil"/>
              <w:right w:val="single" w:sz="8" w:space="0" w:color="auto"/>
            </w:tcBorders>
            <w:shd w:val="clear" w:color="auto" w:fill="auto"/>
            <w:noWrap/>
          </w:tcPr>
          <w:p w:rsidR="007D3BF8" w:rsidRPr="00CC5F89" w:rsidRDefault="007D3BF8" w:rsidP="00304232">
            <w:pPr>
              <w:jc w:val="right"/>
              <w:rPr>
                <w:sz w:val="22"/>
                <w:szCs w:val="22"/>
              </w:rPr>
            </w:pPr>
            <w:r w:rsidRPr="00226074">
              <w:rPr>
                <w:sz w:val="22"/>
                <w:szCs w:val="22"/>
              </w:rPr>
              <w:t>24,305,724</w:t>
            </w:r>
          </w:p>
        </w:tc>
        <w:tc>
          <w:tcPr>
            <w:tcW w:w="1312" w:type="dxa"/>
            <w:tcBorders>
              <w:left w:val="single" w:sz="8" w:space="0" w:color="auto"/>
              <w:bottom w:val="nil"/>
              <w:right w:val="single" w:sz="4" w:space="0" w:color="auto"/>
            </w:tcBorders>
            <w:shd w:val="clear" w:color="auto" w:fill="auto"/>
            <w:noWrap/>
            <w:vAlign w:val="center"/>
          </w:tcPr>
          <w:p w:rsidR="007D3BF8" w:rsidRPr="00CC5F89" w:rsidRDefault="007D3BF8" w:rsidP="00304232">
            <w:pPr>
              <w:jc w:val="right"/>
              <w:rPr>
                <w:color w:val="FF0000"/>
                <w:sz w:val="22"/>
                <w:szCs w:val="22"/>
                <w:lang w:val="en-US"/>
              </w:rPr>
            </w:pPr>
          </w:p>
        </w:tc>
        <w:tc>
          <w:tcPr>
            <w:tcW w:w="866" w:type="dxa"/>
            <w:tcBorders>
              <w:left w:val="single" w:sz="8" w:space="0" w:color="auto"/>
              <w:bottom w:val="nil"/>
              <w:right w:val="single" w:sz="4" w:space="0" w:color="auto"/>
            </w:tcBorders>
          </w:tcPr>
          <w:p w:rsidR="007D3BF8" w:rsidRPr="00CC5F89" w:rsidRDefault="007D3BF8" w:rsidP="00304232">
            <w:pPr>
              <w:jc w:val="right"/>
              <w:rPr>
                <w:color w:val="FF0000"/>
                <w:sz w:val="22"/>
                <w:szCs w:val="22"/>
                <w:lang w:val="en-US"/>
              </w:rPr>
            </w:pPr>
          </w:p>
        </w:tc>
      </w:tr>
      <w:tr w:rsidR="007D3BF8" w:rsidRPr="00CC5F89" w:rsidTr="007D3BF8">
        <w:trPr>
          <w:trHeight w:val="313"/>
        </w:trPr>
        <w:tc>
          <w:tcPr>
            <w:tcW w:w="5724" w:type="dxa"/>
            <w:tcBorders>
              <w:top w:val="nil"/>
              <w:left w:val="single" w:sz="4" w:space="0" w:color="auto"/>
              <w:bottom w:val="nil"/>
              <w:right w:val="single" w:sz="8" w:space="0" w:color="auto"/>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License Services Centre - Vanderbijlpark</w:t>
            </w:r>
          </w:p>
        </w:tc>
        <w:tc>
          <w:tcPr>
            <w:tcW w:w="1404" w:type="dxa"/>
            <w:tcBorders>
              <w:top w:val="nil"/>
              <w:left w:val="single" w:sz="8" w:space="0" w:color="auto"/>
              <w:bottom w:val="nil"/>
              <w:right w:val="single" w:sz="8" w:space="0" w:color="auto"/>
            </w:tcBorders>
            <w:shd w:val="clear" w:color="auto" w:fill="auto"/>
            <w:noWrap/>
          </w:tcPr>
          <w:p w:rsidR="007D3BF8" w:rsidRPr="00CC5F89" w:rsidRDefault="007D3BF8" w:rsidP="009C3735">
            <w:pPr>
              <w:jc w:val="right"/>
              <w:rPr>
                <w:sz w:val="22"/>
                <w:szCs w:val="22"/>
              </w:rPr>
            </w:pPr>
            <w:r w:rsidRPr="00226074">
              <w:rPr>
                <w:sz w:val="22"/>
                <w:szCs w:val="22"/>
              </w:rPr>
              <w:t>22,</w:t>
            </w:r>
            <w:r>
              <w:rPr>
                <w:sz w:val="22"/>
                <w:szCs w:val="22"/>
              </w:rPr>
              <w:t>872</w:t>
            </w:r>
            <w:r w:rsidRPr="00226074">
              <w:rPr>
                <w:sz w:val="22"/>
                <w:szCs w:val="22"/>
              </w:rPr>
              <w:t>,</w:t>
            </w:r>
            <w:r>
              <w:rPr>
                <w:sz w:val="22"/>
                <w:szCs w:val="22"/>
              </w:rPr>
              <w:t>104</w:t>
            </w:r>
          </w:p>
        </w:tc>
        <w:tc>
          <w:tcPr>
            <w:tcW w:w="1312" w:type="dxa"/>
            <w:tcBorders>
              <w:top w:val="nil"/>
              <w:left w:val="single" w:sz="8" w:space="0" w:color="auto"/>
              <w:bottom w:val="nil"/>
              <w:right w:val="single" w:sz="4" w:space="0" w:color="auto"/>
            </w:tcBorders>
            <w:shd w:val="clear" w:color="auto" w:fill="auto"/>
            <w:noWrap/>
            <w:vAlign w:val="center"/>
          </w:tcPr>
          <w:p w:rsidR="007D3BF8" w:rsidRPr="00CC5F89" w:rsidRDefault="007D3BF8" w:rsidP="00304232">
            <w:pPr>
              <w:jc w:val="right"/>
              <w:rPr>
                <w:color w:val="FF0000"/>
                <w:sz w:val="22"/>
                <w:szCs w:val="22"/>
                <w:lang w:val="en-US"/>
              </w:rPr>
            </w:pPr>
          </w:p>
        </w:tc>
        <w:tc>
          <w:tcPr>
            <w:tcW w:w="866" w:type="dxa"/>
            <w:tcBorders>
              <w:top w:val="nil"/>
              <w:left w:val="single" w:sz="8" w:space="0" w:color="auto"/>
              <w:bottom w:val="nil"/>
              <w:right w:val="single" w:sz="4" w:space="0" w:color="auto"/>
            </w:tcBorders>
          </w:tcPr>
          <w:p w:rsidR="007D3BF8" w:rsidRPr="00CC5F89" w:rsidRDefault="007D3BF8" w:rsidP="00304232">
            <w:pPr>
              <w:jc w:val="right"/>
              <w:rPr>
                <w:color w:val="FF0000"/>
                <w:sz w:val="22"/>
                <w:szCs w:val="22"/>
                <w:lang w:val="en-US"/>
              </w:rPr>
            </w:pPr>
          </w:p>
        </w:tc>
      </w:tr>
      <w:tr w:rsidR="007D3BF8" w:rsidRPr="00CC5F89" w:rsidTr="007D3BF8">
        <w:trPr>
          <w:trHeight w:val="313"/>
        </w:trPr>
        <w:tc>
          <w:tcPr>
            <w:tcW w:w="5724" w:type="dxa"/>
            <w:tcBorders>
              <w:top w:val="nil"/>
              <w:left w:val="single" w:sz="4" w:space="0" w:color="auto"/>
              <w:right w:val="single" w:sz="8" w:space="0" w:color="auto"/>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License Services Centre - Meyerton</w:t>
            </w:r>
          </w:p>
        </w:tc>
        <w:tc>
          <w:tcPr>
            <w:tcW w:w="1404" w:type="dxa"/>
            <w:tcBorders>
              <w:top w:val="nil"/>
              <w:left w:val="single" w:sz="8" w:space="0" w:color="auto"/>
              <w:right w:val="single" w:sz="8" w:space="0" w:color="auto"/>
            </w:tcBorders>
            <w:shd w:val="clear" w:color="auto" w:fill="auto"/>
            <w:noWrap/>
          </w:tcPr>
          <w:p w:rsidR="007D3BF8" w:rsidRPr="00CC5F89" w:rsidRDefault="007D3BF8" w:rsidP="00304232">
            <w:pPr>
              <w:jc w:val="right"/>
              <w:rPr>
                <w:sz w:val="22"/>
                <w:szCs w:val="22"/>
              </w:rPr>
            </w:pPr>
            <w:r w:rsidRPr="00226074">
              <w:rPr>
                <w:sz w:val="22"/>
                <w:szCs w:val="22"/>
              </w:rPr>
              <w:t>17,955,516</w:t>
            </w:r>
          </w:p>
        </w:tc>
        <w:tc>
          <w:tcPr>
            <w:tcW w:w="1312" w:type="dxa"/>
            <w:tcBorders>
              <w:top w:val="nil"/>
              <w:left w:val="single" w:sz="8" w:space="0" w:color="auto"/>
              <w:right w:val="single" w:sz="4" w:space="0" w:color="auto"/>
            </w:tcBorders>
            <w:shd w:val="clear" w:color="auto" w:fill="auto"/>
            <w:noWrap/>
            <w:vAlign w:val="center"/>
          </w:tcPr>
          <w:p w:rsidR="007D3BF8" w:rsidRPr="00CC5F89" w:rsidRDefault="007D3BF8" w:rsidP="00304232">
            <w:pPr>
              <w:jc w:val="right"/>
              <w:rPr>
                <w:color w:val="FF0000"/>
                <w:sz w:val="22"/>
                <w:szCs w:val="22"/>
                <w:lang w:val="en-US"/>
              </w:rPr>
            </w:pPr>
          </w:p>
        </w:tc>
        <w:tc>
          <w:tcPr>
            <w:tcW w:w="866" w:type="dxa"/>
            <w:tcBorders>
              <w:top w:val="nil"/>
              <w:left w:val="single" w:sz="8" w:space="0" w:color="auto"/>
              <w:right w:val="single" w:sz="4" w:space="0" w:color="auto"/>
            </w:tcBorders>
          </w:tcPr>
          <w:p w:rsidR="007D3BF8" w:rsidRPr="00CC5F89" w:rsidRDefault="007D3BF8" w:rsidP="00304232">
            <w:pPr>
              <w:jc w:val="right"/>
              <w:rPr>
                <w:color w:val="FF0000"/>
                <w:sz w:val="22"/>
                <w:szCs w:val="22"/>
                <w:lang w:val="en-US"/>
              </w:rPr>
            </w:pPr>
          </w:p>
        </w:tc>
      </w:tr>
      <w:tr w:rsidR="007D3BF8" w:rsidRPr="00CC5F89" w:rsidTr="007D3BF8">
        <w:trPr>
          <w:trHeight w:val="313"/>
        </w:trPr>
        <w:tc>
          <w:tcPr>
            <w:tcW w:w="5724" w:type="dxa"/>
            <w:tcBorders>
              <w:left w:val="single" w:sz="4" w:space="0" w:color="auto"/>
              <w:right w:val="single" w:sz="8" w:space="0" w:color="auto"/>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License Services Centre - Heidelberg</w:t>
            </w:r>
          </w:p>
        </w:tc>
        <w:tc>
          <w:tcPr>
            <w:tcW w:w="1404" w:type="dxa"/>
            <w:tcBorders>
              <w:left w:val="single" w:sz="8" w:space="0" w:color="auto"/>
              <w:right w:val="single" w:sz="8" w:space="0" w:color="auto"/>
            </w:tcBorders>
            <w:shd w:val="clear" w:color="auto" w:fill="auto"/>
            <w:noWrap/>
          </w:tcPr>
          <w:p w:rsidR="007D3BF8" w:rsidRPr="00CC5F89" w:rsidRDefault="007D3BF8" w:rsidP="00304232">
            <w:pPr>
              <w:jc w:val="right"/>
              <w:rPr>
                <w:sz w:val="22"/>
                <w:szCs w:val="22"/>
              </w:rPr>
            </w:pPr>
            <w:r w:rsidRPr="00226074">
              <w:rPr>
                <w:sz w:val="22"/>
                <w:szCs w:val="22"/>
              </w:rPr>
              <w:t>8,786,160</w:t>
            </w:r>
          </w:p>
        </w:tc>
        <w:tc>
          <w:tcPr>
            <w:tcW w:w="1312" w:type="dxa"/>
            <w:tcBorders>
              <w:left w:val="single" w:sz="8" w:space="0" w:color="auto"/>
              <w:right w:val="single" w:sz="4" w:space="0" w:color="auto"/>
            </w:tcBorders>
            <w:shd w:val="clear" w:color="auto" w:fill="auto"/>
            <w:noWrap/>
            <w:vAlign w:val="center"/>
          </w:tcPr>
          <w:p w:rsidR="007D3BF8" w:rsidRPr="00CC5F89" w:rsidRDefault="007D3BF8" w:rsidP="00304232">
            <w:pPr>
              <w:jc w:val="right"/>
              <w:rPr>
                <w:sz w:val="22"/>
                <w:szCs w:val="22"/>
                <w:lang w:val="en-US"/>
              </w:rPr>
            </w:pPr>
          </w:p>
        </w:tc>
        <w:tc>
          <w:tcPr>
            <w:tcW w:w="866" w:type="dxa"/>
            <w:tcBorders>
              <w:left w:val="single" w:sz="8" w:space="0" w:color="auto"/>
              <w:right w:val="single" w:sz="4" w:space="0" w:color="auto"/>
            </w:tcBorders>
          </w:tcPr>
          <w:p w:rsidR="007D3BF8" w:rsidRPr="00CC5F89" w:rsidRDefault="007D3BF8" w:rsidP="00304232">
            <w:pPr>
              <w:jc w:val="right"/>
              <w:rPr>
                <w:sz w:val="22"/>
                <w:szCs w:val="22"/>
                <w:lang w:val="en-US"/>
              </w:rPr>
            </w:pPr>
          </w:p>
        </w:tc>
      </w:tr>
      <w:tr w:rsidR="007D3BF8" w:rsidRPr="00CC5F89" w:rsidTr="007D3BF8">
        <w:trPr>
          <w:trHeight w:val="313"/>
        </w:trPr>
        <w:tc>
          <w:tcPr>
            <w:tcW w:w="5724" w:type="dxa"/>
            <w:tcBorders>
              <w:top w:val="single" w:sz="8" w:space="0" w:color="auto"/>
              <w:left w:val="single" w:sz="4" w:space="0" w:color="auto"/>
              <w:bottom w:val="single" w:sz="8" w:space="0" w:color="auto"/>
              <w:right w:val="single" w:sz="8" w:space="0" w:color="auto"/>
            </w:tcBorders>
            <w:shd w:val="clear" w:color="auto" w:fill="auto"/>
            <w:noWrap/>
            <w:vAlign w:val="center"/>
          </w:tcPr>
          <w:p w:rsidR="007D3BF8" w:rsidRPr="007D3BF8" w:rsidRDefault="007D3BF8" w:rsidP="00304232">
            <w:pPr>
              <w:rPr>
                <w:i/>
                <w:color w:val="000000"/>
                <w:sz w:val="22"/>
                <w:szCs w:val="22"/>
                <w:u w:val="single"/>
                <w:lang w:val="en-US"/>
              </w:rPr>
            </w:pPr>
            <w:r w:rsidRPr="007D3BF8">
              <w:rPr>
                <w:i/>
                <w:color w:val="000000"/>
                <w:sz w:val="22"/>
                <w:szCs w:val="22"/>
                <w:u w:val="single"/>
                <w:lang w:val="en-US"/>
              </w:rPr>
              <w:t>Government Grants And Subsidies</w:t>
            </w:r>
          </w:p>
        </w:tc>
        <w:tc>
          <w:tcPr>
            <w:tcW w:w="140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3BF8" w:rsidRPr="007D3BF8" w:rsidRDefault="007D3BF8" w:rsidP="00304232">
            <w:pPr>
              <w:jc w:val="right"/>
              <w:rPr>
                <w:i/>
                <w:color w:val="FF0000"/>
                <w:sz w:val="22"/>
                <w:szCs w:val="20"/>
                <w:lang w:val="en-US"/>
              </w:rPr>
            </w:pPr>
          </w:p>
        </w:tc>
        <w:tc>
          <w:tcPr>
            <w:tcW w:w="1312" w:type="dxa"/>
            <w:tcBorders>
              <w:top w:val="single" w:sz="8" w:space="0" w:color="auto"/>
              <w:left w:val="single" w:sz="8" w:space="0" w:color="auto"/>
              <w:bottom w:val="single" w:sz="8" w:space="0" w:color="auto"/>
              <w:right w:val="single" w:sz="4" w:space="0" w:color="auto"/>
            </w:tcBorders>
            <w:shd w:val="clear" w:color="auto" w:fill="auto"/>
            <w:noWrap/>
            <w:vAlign w:val="center"/>
          </w:tcPr>
          <w:p w:rsidR="007D3BF8" w:rsidRPr="007D3BF8" w:rsidRDefault="007D3BF8" w:rsidP="00304232">
            <w:pPr>
              <w:jc w:val="right"/>
              <w:rPr>
                <w:i/>
                <w:sz w:val="22"/>
                <w:szCs w:val="20"/>
                <w:lang w:val="en-US"/>
              </w:rPr>
            </w:pPr>
            <w:r w:rsidRPr="007D3BF8">
              <w:rPr>
                <w:i/>
                <w:sz w:val="22"/>
                <w:szCs w:val="20"/>
                <w:lang w:val="en-US"/>
              </w:rPr>
              <w:t>268,740,000</w:t>
            </w:r>
          </w:p>
        </w:tc>
        <w:tc>
          <w:tcPr>
            <w:tcW w:w="866" w:type="dxa"/>
            <w:tcBorders>
              <w:top w:val="single" w:sz="8" w:space="0" w:color="auto"/>
              <w:left w:val="single" w:sz="8" w:space="0" w:color="auto"/>
              <w:bottom w:val="single" w:sz="8" w:space="0" w:color="auto"/>
              <w:right w:val="single" w:sz="4" w:space="0" w:color="auto"/>
            </w:tcBorders>
          </w:tcPr>
          <w:p w:rsidR="007D3BF8" w:rsidRPr="007D3BF8" w:rsidRDefault="001B6E86" w:rsidP="00304232">
            <w:pPr>
              <w:jc w:val="right"/>
              <w:rPr>
                <w:i/>
                <w:sz w:val="22"/>
                <w:szCs w:val="20"/>
                <w:lang w:val="en-US"/>
              </w:rPr>
            </w:pPr>
            <w:r>
              <w:rPr>
                <w:i/>
                <w:sz w:val="22"/>
                <w:szCs w:val="20"/>
                <w:lang w:val="en-US"/>
              </w:rPr>
              <w:t>73,70%</w:t>
            </w:r>
          </w:p>
        </w:tc>
      </w:tr>
      <w:tr w:rsidR="007D3BF8" w:rsidRPr="00CC5F89" w:rsidTr="007D3BF8">
        <w:trPr>
          <w:trHeight w:val="313"/>
        </w:trPr>
        <w:tc>
          <w:tcPr>
            <w:tcW w:w="5724" w:type="dxa"/>
            <w:tcBorders>
              <w:top w:val="single" w:sz="8" w:space="0" w:color="auto"/>
              <w:left w:val="single" w:sz="4" w:space="0" w:color="auto"/>
              <w:bottom w:val="nil"/>
              <w:right w:val="single" w:sz="8" w:space="0" w:color="auto"/>
            </w:tcBorders>
            <w:shd w:val="clear" w:color="auto" w:fill="auto"/>
            <w:noWrap/>
            <w:vAlign w:val="center"/>
          </w:tcPr>
          <w:p w:rsidR="007D3BF8" w:rsidRPr="00CC5F89" w:rsidRDefault="007D3BF8" w:rsidP="00304232">
            <w:pPr>
              <w:ind w:left="381" w:hanging="283"/>
              <w:rPr>
                <w:color w:val="000000"/>
                <w:sz w:val="22"/>
                <w:szCs w:val="22"/>
                <w:lang w:val="en-US"/>
              </w:rPr>
            </w:pPr>
            <w:r w:rsidRPr="00CC5F89">
              <w:rPr>
                <w:color w:val="000000"/>
                <w:sz w:val="22"/>
                <w:szCs w:val="22"/>
                <w:lang w:val="en-US"/>
              </w:rPr>
              <w:t xml:space="preserve">       Finance Cluster - Financial Management (Equitable Share, FMG, MSIG,     EPWP, Transformation)</w:t>
            </w:r>
          </w:p>
        </w:tc>
        <w:tc>
          <w:tcPr>
            <w:tcW w:w="1404" w:type="dxa"/>
            <w:tcBorders>
              <w:top w:val="single" w:sz="8" w:space="0" w:color="auto"/>
              <w:left w:val="single" w:sz="8" w:space="0" w:color="auto"/>
              <w:bottom w:val="nil"/>
              <w:right w:val="single" w:sz="8" w:space="0" w:color="auto"/>
            </w:tcBorders>
            <w:shd w:val="clear" w:color="auto" w:fill="auto"/>
            <w:noWrap/>
            <w:vAlign w:val="center"/>
          </w:tcPr>
          <w:p w:rsidR="007D3BF8" w:rsidRPr="00BD1E73" w:rsidRDefault="007D3BF8" w:rsidP="00304232">
            <w:pPr>
              <w:jc w:val="right"/>
              <w:rPr>
                <w:sz w:val="22"/>
                <w:szCs w:val="20"/>
                <w:lang w:val="en-US"/>
              </w:rPr>
            </w:pPr>
            <w:r w:rsidRPr="00BD1E73">
              <w:rPr>
                <w:sz w:val="22"/>
                <w:szCs w:val="20"/>
                <w:lang w:val="en-US"/>
              </w:rPr>
              <w:t>258,519,000</w:t>
            </w:r>
          </w:p>
        </w:tc>
        <w:tc>
          <w:tcPr>
            <w:tcW w:w="1312" w:type="dxa"/>
            <w:tcBorders>
              <w:top w:val="single" w:sz="8" w:space="0" w:color="auto"/>
              <w:left w:val="single" w:sz="8" w:space="0" w:color="auto"/>
              <w:bottom w:val="nil"/>
              <w:right w:val="single" w:sz="4" w:space="0" w:color="auto"/>
            </w:tcBorders>
            <w:shd w:val="clear" w:color="auto" w:fill="auto"/>
            <w:noWrap/>
            <w:vAlign w:val="center"/>
          </w:tcPr>
          <w:p w:rsidR="007D3BF8" w:rsidRPr="00BD1E73" w:rsidRDefault="007D3BF8" w:rsidP="00304232">
            <w:pPr>
              <w:jc w:val="right"/>
              <w:rPr>
                <w:color w:val="FF0000"/>
                <w:sz w:val="22"/>
                <w:szCs w:val="20"/>
                <w:lang w:val="en-US"/>
              </w:rPr>
            </w:pPr>
          </w:p>
        </w:tc>
        <w:tc>
          <w:tcPr>
            <w:tcW w:w="866" w:type="dxa"/>
            <w:tcBorders>
              <w:top w:val="single" w:sz="8" w:space="0" w:color="auto"/>
              <w:left w:val="single" w:sz="8" w:space="0" w:color="auto"/>
              <w:bottom w:val="nil"/>
              <w:right w:val="single" w:sz="4" w:space="0" w:color="auto"/>
            </w:tcBorders>
          </w:tcPr>
          <w:p w:rsidR="007D3BF8" w:rsidRPr="00BD1E73" w:rsidRDefault="007D3BF8" w:rsidP="00304232">
            <w:pPr>
              <w:jc w:val="right"/>
              <w:rPr>
                <w:color w:val="FF0000"/>
                <w:sz w:val="22"/>
                <w:szCs w:val="20"/>
                <w:lang w:val="en-US"/>
              </w:rPr>
            </w:pPr>
          </w:p>
        </w:tc>
      </w:tr>
      <w:tr w:rsidR="007D3BF8" w:rsidRPr="00CC5F89" w:rsidTr="007D3BF8">
        <w:trPr>
          <w:trHeight w:val="313"/>
        </w:trPr>
        <w:tc>
          <w:tcPr>
            <w:tcW w:w="5724" w:type="dxa"/>
            <w:tcBorders>
              <w:top w:val="nil"/>
              <w:left w:val="single" w:sz="4" w:space="0" w:color="auto"/>
              <w:bottom w:val="nil"/>
              <w:right w:val="single" w:sz="8" w:space="0" w:color="auto"/>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TIE – Infrastructure rural roads</w:t>
            </w:r>
          </w:p>
        </w:tc>
        <w:tc>
          <w:tcPr>
            <w:tcW w:w="1404" w:type="dxa"/>
            <w:tcBorders>
              <w:top w:val="nil"/>
              <w:left w:val="single" w:sz="8" w:space="0" w:color="auto"/>
              <w:bottom w:val="nil"/>
              <w:right w:val="single" w:sz="8" w:space="0" w:color="auto"/>
            </w:tcBorders>
            <w:shd w:val="clear" w:color="auto" w:fill="auto"/>
            <w:noWrap/>
            <w:vAlign w:val="center"/>
          </w:tcPr>
          <w:p w:rsidR="007D3BF8" w:rsidRPr="00BD1E73" w:rsidRDefault="007D3BF8" w:rsidP="00304232">
            <w:pPr>
              <w:jc w:val="right"/>
              <w:rPr>
                <w:sz w:val="22"/>
                <w:szCs w:val="20"/>
                <w:lang w:val="en-US"/>
              </w:rPr>
            </w:pPr>
            <w:r w:rsidRPr="00BD1E73">
              <w:rPr>
                <w:sz w:val="22"/>
                <w:szCs w:val="20"/>
                <w:lang w:val="en-US"/>
              </w:rPr>
              <w:t>2,431,000</w:t>
            </w:r>
          </w:p>
        </w:tc>
        <w:tc>
          <w:tcPr>
            <w:tcW w:w="1312" w:type="dxa"/>
            <w:tcBorders>
              <w:top w:val="nil"/>
              <w:left w:val="single" w:sz="8" w:space="0" w:color="auto"/>
              <w:bottom w:val="nil"/>
              <w:right w:val="single" w:sz="4" w:space="0" w:color="auto"/>
            </w:tcBorders>
            <w:shd w:val="clear" w:color="auto" w:fill="auto"/>
            <w:noWrap/>
            <w:vAlign w:val="center"/>
          </w:tcPr>
          <w:p w:rsidR="007D3BF8" w:rsidRPr="00BD1E73" w:rsidRDefault="007D3BF8" w:rsidP="00304232">
            <w:pPr>
              <w:jc w:val="right"/>
              <w:rPr>
                <w:sz w:val="22"/>
                <w:szCs w:val="20"/>
                <w:lang w:val="en-US"/>
              </w:rPr>
            </w:pPr>
          </w:p>
        </w:tc>
        <w:tc>
          <w:tcPr>
            <w:tcW w:w="866" w:type="dxa"/>
            <w:tcBorders>
              <w:top w:val="nil"/>
              <w:left w:val="single" w:sz="8" w:space="0" w:color="auto"/>
              <w:bottom w:val="nil"/>
              <w:right w:val="single" w:sz="4" w:space="0" w:color="auto"/>
            </w:tcBorders>
          </w:tcPr>
          <w:p w:rsidR="007D3BF8" w:rsidRPr="00BD1E73" w:rsidRDefault="007D3BF8" w:rsidP="00304232">
            <w:pPr>
              <w:jc w:val="right"/>
              <w:rPr>
                <w:sz w:val="22"/>
                <w:szCs w:val="20"/>
                <w:lang w:val="en-US"/>
              </w:rPr>
            </w:pPr>
          </w:p>
        </w:tc>
      </w:tr>
      <w:tr w:rsidR="007D3BF8" w:rsidRPr="00CC5F89" w:rsidTr="007D3BF8">
        <w:trPr>
          <w:trHeight w:val="313"/>
        </w:trPr>
        <w:tc>
          <w:tcPr>
            <w:tcW w:w="5724" w:type="dxa"/>
            <w:tcBorders>
              <w:top w:val="nil"/>
              <w:left w:val="single" w:sz="4" w:space="0" w:color="auto"/>
              <w:bottom w:val="nil"/>
              <w:right w:val="single" w:sz="8" w:space="0" w:color="auto"/>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Community Services Cluster - HIV &amp; AIDS</w:t>
            </w:r>
          </w:p>
        </w:tc>
        <w:tc>
          <w:tcPr>
            <w:tcW w:w="1404" w:type="dxa"/>
            <w:tcBorders>
              <w:top w:val="nil"/>
              <w:left w:val="single" w:sz="8" w:space="0" w:color="auto"/>
              <w:bottom w:val="single" w:sz="8" w:space="0" w:color="auto"/>
              <w:right w:val="single" w:sz="8" w:space="0" w:color="auto"/>
            </w:tcBorders>
            <w:shd w:val="clear" w:color="auto" w:fill="auto"/>
            <w:noWrap/>
            <w:vAlign w:val="center"/>
          </w:tcPr>
          <w:p w:rsidR="007D3BF8" w:rsidRPr="00BD1E73" w:rsidRDefault="007D3BF8" w:rsidP="00304232">
            <w:pPr>
              <w:jc w:val="right"/>
              <w:rPr>
                <w:sz w:val="22"/>
                <w:szCs w:val="20"/>
                <w:lang w:val="en-US"/>
              </w:rPr>
            </w:pPr>
            <w:r w:rsidRPr="00BD1E73">
              <w:rPr>
                <w:sz w:val="22"/>
                <w:szCs w:val="20"/>
                <w:lang w:val="en-US"/>
              </w:rPr>
              <w:t>7,790,000</w:t>
            </w:r>
          </w:p>
        </w:tc>
        <w:tc>
          <w:tcPr>
            <w:tcW w:w="1312" w:type="dxa"/>
            <w:tcBorders>
              <w:top w:val="nil"/>
              <w:left w:val="single" w:sz="8" w:space="0" w:color="auto"/>
              <w:bottom w:val="nil"/>
              <w:right w:val="single" w:sz="4" w:space="0" w:color="auto"/>
            </w:tcBorders>
            <w:shd w:val="clear" w:color="auto" w:fill="auto"/>
            <w:noWrap/>
            <w:vAlign w:val="center"/>
          </w:tcPr>
          <w:p w:rsidR="007D3BF8" w:rsidRPr="00BD1E73" w:rsidRDefault="007D3BF8" w:rsidP="00304232">
            <w:pPr>
              <w:jc w:val="right"/>
              <w:rPr>
                <w:sz w:val="22"/>
                <w:szCs w:val="20"/>
                <w:lang w:val="en-US"/>
              </w:rPr>
            </w:pPr>
          </w:p>
        </w:tc>
        <w:tc>
          <w:tcPr>
            <w:tcW w:w="866" w:type="dxa"/>
            <w:tcBorders>
              <w:top w:val="nil"/>
              <w:left w:val="single" w:sz="8" w:space="0" w:color="auto"/>
              <w:bottom w:val="nil"/>
              <w:right w:val="single" w:sz="4" w:space="0" w:color="auto"/>
            </w:tcBorders>
          </w:tcPr>
          <w:p w:rsidR="007D3BF8" w:rsidRPr="00BD1E73" w:rsidRDefault="007D3BF8" w:rsidP="00304232">
            <w:pPr>
              <w:jc w:val="right"/>
              <w:rPr>
                <w:sz w:val="22"/>
                <w:szCs w:val="20"/>
                <w:lang w:val="en-US"/>
              </w:rPr>
            </w:pPr>
          </w:p>
        </w:tc>
      </w:tr>
      <w:tr w:rsidR="007D3BF8" w:rsidRPr="00CC5F89" w:rsidTr="007D3BF8">
        <w:trPr>
          <w:trHeight w:val="313"/>
        </w:trPr>
        <w:tc>
          <w:tcPr>
            <w:tcW w:w="5724" w:type="dxa"/>
            <w:tcBorders>
              <w:top w:val="single" w:sz="8" w:space="0" w:color="auto"/>
              <w:left w:val="single" w:sz="4" w:space="0" w:color="auto"/>
              <w:bottom w:val="single" w:sz="8" w:space="0" w:color="auto"/>
              <w:right w:val="single" w:sz="8" w:space="0" w:color="auto"/>
            </w:tcBorders>
            <w:shd w:val="clear" w:color="auto" w:fill="auto"/>
            <w:noWrap/>
            <w:vAlign w:val="center"/>
          </w:tcPr>
          <w:p w:rsidR="007D3BF8" w:rsidRPr="007D3BF8" w:rsidRDefault="007D3BF8" w:rsidP="00304232">
            <w:pPr>
              <w:rPr>
                <w:i/>
                <w:color w:val="000000"/>
                <w:sz w:val="22"/>
                <w:szCs w:val="22"/>
                <w:u w:val="single"/>
                <w:lang w:val="en-US"/>
              </w:rPr>
            </w:pPr>
            <w:r w:rsidRPr="007D3BF8">
              <w:rPr>
                <w:i/>
                <w:color w:val="000000"/>
                <w:sz w:val="22"/>
                <w:szCs w:val="22"/>
                <w:u w:val="single"/>
                <w:lang w:val="en-US"/>
              </w:rPr>
              <w:t>Revenue From Agency Services</w:t>
            </w:r>
          </w:p>
        </w:tc>
        <w:tc>
          <w:tcPr>
            <w:tcW w:w="140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3BF8" w:rsidRPr="007D3BF8" w:rsidRDefault="007D3BF8" w:rsidP="00304232">
            <w:pPr>
              <w:jc w:val="right"/>
              <w:rPr>
                <w:i/>
                <w:sz w:val="22"/>
                <w:szCs w:val="22"/>
                <w:lang w:val="en-US"/>
              </w:rPr>
            </w:pPr>
          </w:p>
        </w:tc>
        <w:tc>
          <w:tcPr>
            <w:tcW w:w="1312" w:type="dxa"/>
            <w:tcBorders>
              <w:top w:val="single" w:sz="8" w:space="0" w:color="auto"/>
              <w:left w:val="single" w:sz="8" w:space="0" w:color="auto"/>
              <w:bottom w:val="single" w:sz="8" w:space="0" w:color="auto"/>
              <w:right w:val="single" w:sz="4" w:space="0" w:color="auto"/>
            </w:tcBorders>
            <w:shd w:val="clear" w:color="auto" w:fill="auto"/>
            <w:noWrap/>
            <w:vAlign w:val="center"/>
          </w:tcPr>
          <w:p w:rsidR="007D3BF8" w:rsidRPr="007D3BF8" w:rsidRDefault="007D3BF8" w:rsidP="00304232">
            <w:pPr>
              <w:jc w:val="right"/>
              <w:rPr>
                <w:i/>
                <w:sz w:val="22"/>
                <w:szCs w:val="22"/>
                <w:lang w:val="en-US"/>
              </w:rPr>
            </w:pPr>
            <w:r w:rsidRPr="007D3BF8">
              <w:rPr>
                <w:i/>
                <w:sz w:val="22"/>
                <w:szCs w:val="22"/>
                <w:lang w:val="en-US"/>
              </w:rPr>
              <w:t>7,953,306</w:t>
            </w:r>
          </w:p>
        </w:tc>
        <w:tc>
          <w:tcPr>
            <w:tcW w:w="866" w:type="dxa"/>
            <w:tcBorders>
              <w:top w:val="single" w:sz="8" w:space="0" w:color="auto"/>
              <w:left w:val="single" w:sz="8" w:space="0" w:color="auto"/>
              <w:bottom w:val="single" w:sz="8" w:space="0" w:color="auto"/>
              <w:right w:val="single" w:sz="4" w:space="0" w:color="auto"/>
            </w:tcBorders>
          </w:tcPr>
          <w:p w:rsidR="007D3BF8" w:rsidRPr="007D3BF8" w:rsidRDefault="001B6E86" w:rsidP="00304232">
            <w:pPr>
              <w:jc w:val="right"/>
              <w:rPr>
                <w:i/>
                <w:sz w:val="22"/>
                <w:szCs w:val="22"/>
                <w:lang w:val="en-US"/>
              </w:rPr>
            </w:pPr>
            <w:r>
              <w:rPr>
                <w:i/>
                <w:sz w:val="22"/>
                <w:szCs w:val="22"/>
                <w:lang w:val="en-US"/>
              </w:rPr>
              <w:t>2.18%</w:t>
            </w:r>
          </w:p>
        </w:tc>
      </w:tr>
      <w:tr w:rsidR="007D3BF8" w:rsidRPr="00CC5F89" w:rsidTr="007D3BF8">
        <w:trPr>
          <w:trHeight w:val="313"/>
        </w:trPr>
        <w:tc>
          <w:tcPr>
            <w:tcW w:w="5724" w:type="dxa"/>
            <w:tcBorders>
              <w:top w:val="single" w:sz="8" w:space="0" w:color="auto"/>
              <w:left w:val="single" w:sz="4" w:space="0" w:color="auto"/>
              <w:right w:val="single" w:sz="8" w:space="0" w:color="auto"/>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Corporate Services Cluster - IT Emfuleni</w:t>
            </w:r>
          </w:p>
        </w:tc>
        <w:tc>
          <w:tcPr>
            <w:tcW w:w="1404" w:type="dxa"/>
            <w:tcBorders>
              <w:top w:val="single" w:sz="8" w:space="0" w:color="auto"/>
              <w:left w:val="single" w:sz="8" w:space="0" w:color="auto"/>
              <w:right w:val="single" w:sz="8" w:space="0" w:color="auto"/>
            </w:tcBorders>
            <w:shd w:val="clear" w:color="auto" w:fill="auto"/>
            <w:noWrap/>
            <w:vAlign w:val="center"/>
          </w:tcPr>
          <w:p w:rsidR="007D3BF8" w:rsidRPr="00CC5F89" w:rsidRDefault="007D3BF8" w:rsidP="00304232">
            <w:pPr>
              <w:jc w:val="right"/>
              <w:rPr>
                <w:sz w:val="22"/>
                <w:szCs w:val="22"/>
                <w:lang w:val="en-US"/>
              </w:rPr>
            </w:pPr>
            <w:r>
              <w:rPr>
                <w:sz w:val="22"/>
                <w:szCs w:val="22"/>
                <w:lang w:val="en-US"/>
              </w:rPr>
              <w:t>7,953,306</w:t>
            </w:r>
          </w:p>
        </w:tc>
        <w:tc>
          <w:tcPr>
            <w:tcW w:w="1312" w:type="dxa"/>
            <w:tcBorders>
              <w:top w:val="single" w:sz="8" w:space="0" w:color="auto"/>
              <w:left w:val="single" w:sz="8" w:space="0" w:color="auto"/>
              <w:right w:val="single" w:sz="4" w:space="0" w:color="auto"/>
            </w:tcBorders>
            <w:shd w:val="clear" w:color="auto" w:fill="auto"/>
            <w:noWrap/>
            <w:vAlign w:val="center"/>
          </w:tcPr>
          <w:p w:rsidR="007D3BF8" w:rsidRPr="00CC5F89" w:rsidRDefault="007D3BF8" w:rsidP="00304232">
            <w:pPr>
              <w:jc w:val="right"/>
              <w:rPr>
                <w:sz w:val="22"/>
                <w:szCs w:val="22"/>
                <w:lang w:val="en-US"/>
              </w:rPr>
            </w:pPr>
          </w:p>
        </w:tc>
        <w:tc>
          <w:tcPr>
            <w:tcW w:w="866" w:type="dxa"/>
            <w:tcBorders>
              <w:top w:val="single" w:sz="8" w:space="0" w:color="auto"/>
              <w:left w:val="single" w:sz="8" w:space="0" w:color="auto"/>
              <w:right w:val="single" w:sz="4" w:space="0" w:color="auto"/>
            </w:tcBorders>
          </w:tcPr>
          <w:p w:rsidR="007D3BF8" w:rsidRPr="00CC5F89" w:rsidRDefault="007D3BF8" w:rsidP="00304232">
            <w:pPr>
              <w:jc w:val="right"/>
              <w:rPr>
                <w:sz w:val="22"/>
                <w:szCs w:val="22"/>
                <w:lang w:val="en-US"/>
              </w:rPr>
            </w:pPr>
          </w:p>
        </w:tc>
      </w:tr>
      <w:tr w:rsidR="007D3BF8" w:rsidRPr="00CC5F89" w:rsidTr="007D3BF8">
        <w:trPr>
          <w:trHeight w:val="313"/>
        </w:trPr>
        <w:tc>
          <w:tcPr>
            <w:tcW w:w="5724" w:type="dxa"/>
            <w:tcBorders>
              <w:left w:val="single" w:sz="4" w:space="0" w:color="auto"/>
              <w:right w:val="single" w:sz="8" w:space="0" w:color="auto"/>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Corporate Services Cluster - IT Midvaal</w:t>
            </w:r>
          </w:p>
        </w:tc>
        <w:tc>
          <w:tcPr>
            <w:tcW w:w="1404" w:type="dxa"/>
            <w:tcBorders>
              <w:left w:val="single" w:sz="8" w:space="0" w:color="auto"/>
              <w:bottom w:val="single" w:sz="8" w:space="0" w:color="auto"/>
              <w:right w:val="single" w:sz="8" w:space="0" w:color="auto"/>
            </w:tcBorders>
            <w:shd w:val="clear" w:color="auto" w:fill="auto"/>
            <w:noWrap/>
            <w:vAlign w:val="center"/>
          </w:tcPr>
          <w:p w:rsidR="007D3BF8" w:rsidRPr="00CC5F89" w:rsidRDefault="007D3BF8" w:rsidP="00BD1E73">
            <w:pPr>
              <w:jc w:val="right"/>
              <w:rPr>
                <w:sz w:val="22"/>
                <w:szCs w:val="22"/>
                <w:lang w:val="en-US"/>
              </w:rPr>
            </w:pPr>
            <w:r>
              <w:rPr>
                <w:sz w:val="22"/>
                <w:szCs w:val="22"/>
                <w:lang w:val="en-US"/>
              </w:rPr>
              <w:t>0</w:t>
            </w:r>
          </w:p>
        </w:tc>
        <w:tc>
          <w:tcPr>
            <w:tcW w:w="1312" w:type="dxa"/>
            <w:tcBorders>
              <w:left w:val="single" w:sz="8" w:space="0" w:color="auto"/>
              <w:right w:val="single" w:sz="4" w:space="0" w:color="auto"/>
            </w:tcBorders>
            <w:shd w:val="clear" w:color="auto" w:fill="auto"/>
            <w:noWrap/>
            <w:vAlign w:val="center"/>
          </w:tcPr>
          <w:p w:rsidR="007D3BF8" w:rsidRPr="00CC5F89" w:rsidRDefault="007D3BF8" w:rsidP="00304232">
            <w:pPr>
              <w:jc w:val="right"/>
              <w:rPr>
                <w:sz w:val="22"/>
                <w:szCs w:val="22"/>
                <w:lang w:val="en-US"/>
              </w:rPr>
            </w:pPr>
          </w:p>
        </w:tc>
        <w:tc>
          <w:tcPr>
            <w:tcW w:w="866" w:type="dxa"/>
            <w:tcBorders>
              <w:left w:val="single" w:sz="8" w:space="0" w:color="auto"/>
              <w:right w:val="single" w:sz="4" w:space="0" w:color="auto"/>
            </w:tcBorders>
          </w:tcPr>
          <w:p w:rsidR="007D3BF8" w:rsidRPr="00CC5F89" w:rsidRDefault="007D3BF8" w:rsidP="00304232">
            <w:pPr>
              <w:jc w:val="right"/>
              <w:rPr>
                <w:sz w:val="22"/>
                <w:szCs w:val="22"/>
                <w:lang w:val="en-US"/>
              </w:rPr>
            </w:pPr>
          </w:p>
        </w:tc>
      </w:tr>
      <w:tr w:rsidR="007D3BF8" w:rsidRPr="00CC5F89" w:rsidTr="007D3BF8">
        <w:trPr>
          <w:trHeight w:val="313"/>
        </w:trPr>
        <w:tc>
          <w:tcPr>
            <w:tcW w:w="5724" w:type="dxa"/>
            <w:tcBorders>
              <w:top w:val="single" w:sz="8" w:space="0" w:color="000000"/>
              <w:left w:val="single" w:sz="4" w:space="0" w:color="auto"/>
              <w:bottom w:val="single" w:sz="8" w:space="0" w:color="auto"/>
              <w:right w:val="single" w:sz="8" w:space="0" w:color="000000"/>
            </w:tcBorders>
            <w:shd w:val="clear" w:color="auto" w:fill="auto"/>
            <w:noWrap/>
            <w:vAlign w:val="center"/>
          </w:tcPr>
          <w:p w:rsidR="007D3BF8" w:rsidRPr="007D3BF8" w:rsidRDefault="007D3BF8" w:rsidP="00304232">
            <w:pPr>
              <w:rPr>
                <w:i/>
                <w:color w:val="000000"/>
                <w:sz w:val="22"/>
                <w:szCs w:val="22"/>
                <w:u w:val="single"/>
                <w:lang w:val="en-US"/>
              </w:rPr>
            </w:pPr>
            <w:r w:rsidRPr="007D3BF8">
              <w:rPr>
                <w:i/>
                <w:color w:val="000000"/>
                <w:sz w:val="22"/>
                <w:szCs w:val="22"/>
                <w:u w:val="single"/>
                <w:lang w:val="en-US"/>
              </w:rPr>
              <w:t>Other Revenue (Minor Tariffs)</w:t>
            </w:r>
          </w:p>
        </w:tc>
        <w:tc>
          <w:tcPr>
            <w:tcW w:w="1404" w:type="dxa"/>
            <w:tcBorders>
              <w:top w:val="single" w:sz="8" w:space="0" w:color="auto"/>
              <w:left w:val="nil"/>
              <w:bottom w:val="single" w:sz="8" w:space="0" w:color="auto"/>
              <w:right w:val="single" w:sz="8" w:space="0" w:color="000000"/>
            </w:tcBorders>
            <w:shd w:val="clear" w:color="auto" w:fill="auto"/>
            <w:noWrap/>
            <w:vAlign w:val="center"/>
          </w:tcPr>
          <w:p w:rsidR="007D3BF8" w:rsidRPr="007D3BF8" w:rsidRDefault="007D3BF8" w:rsidP="00304232">
            <w:pPr>
              <w:jc w:val="right"/>
              <w:rPr>
                <w:i/>
                <w:color w:val="FF0000"/>
                <w:sz w:val="22"/>
                <w:szCs w:val="22"/>
                <w:lang w:val="en-US"/>
              </w:rPr>
            </w:pPr>
          </w:p>
        </w:tc>
        <w:tc>
          <w:tcPr>
            <w:tcW w:w="1312" w:type="dxa"/>
            <w:tcBorders>
              <w:top w:val="single" w:sz="8" w:space="0" w:color="000000"/>
              <w:left w:val="single" w:sz="8" w:space="0" w:color="000000"/>
              <w:bottom w:val="single" w:sz="8" w:space="0" w:color="auto"/>
              <w:right w:val="single" w:sz="4" w:space="0" w:color="auto"/>
            </w:tcBorders>
            <w:shd w:val="clear" w:color="auto" w:fill="auto"/>
            <w:noWrap/>
            <w:vAlign w:val="center"/>
          </w:tcPr>
          <w:p w:rsidR="007D3BF8" w:rsidRPr="007D3BF8" w:rsidRDefault="007D3BF8" w:rsidP="0060262D">
            <w:pPr>
              <w:jc w:val="right"/>
              <w:rPr>
                <w:i/>
                <w:sz w:val="22"/>
                <w:szCs w:val="22"/>
                <w:lang w:val="en-US"/>
              </w:rPr>
            </w:pPr>
            <w:r w:rsidRPr="007D3BF8">
              <w:rPr>
                <w:i/>
                <w:sz w:val="22"/>
                <w:szCs w:val="22"/>
                <w:lang w:val="en-US"/>
              </w:rPr>
              <w:t>3,624,143</w:t>
            </w:r>
          </w:p>
        </w:tc>
        <w:tc>
          <w:tcPr>
            <w:tcW w:w="866" w:type="dxa"/>
            <w:tcBorders>
              <w:top w:val="single" w:sz="8" w:space="0" w:color="000000"/>
              <w:left w:val="single" w:sz="8" w:space="0" w:color="000000"/>
              <w:bottom w:val="single" w:sz="8" w:space="0" w:color="auto"/>
              <w:right w:val="single" w:sz="4" w:space="0" w:color="auto"/>
            </w:tcBorders>
          </w:tcPr>
          <w:p w:rsidR="007D3BF8" w:rsidRPr="007D3BF8" w:rsidRDefault="001B6E86" w:rsidP="0060262D">
            <w:pPr>
              <w:jc w:val="right"/>
              <w:rPr>
                <w:i/>
                <w:sz w:val="22"/>
                <w:szCs w:val="22"/>
                <w:lang w:val="en-US"/>
              </w:rPr>
            </w:pPr>
            <w:r>
              <w:rPr>
                <w:i/>
                <w:sz w:val="22"/>
                <w:szCs w:val="22"/>
                <w:lang w:val="en-US"/>
              </w:rPr>
              <w:t>0.99%</w:t>
            </w:r>
          </w:p>
        </w:tc>
      </w:tr>
      <w:tr w:rsidR="007D3BF8" w:rsidRPr="00CC5F89" w:rsidTr="007D3BF8">
        <w:trPr>
          <w:trHeight w:val="313"/>
        </w:trPr>
        <w:tc>
          <w:tcPr>
            <w:tcW w:w="5724" w:type="dxa"/>
            <w:tcBorders>
              <w:top w:val="single" w:sz="8" w:space="0" w:color="auto"/>
              <w:left w:val="single" w:sz="4" w:space="0" w:color="auto"/>
              <w:bottom w:val="nil"/>
              <w:right w:val="single" w:sz="8" w:space="0" w:color="000000"/>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Finance Cluster - Financial Management &amp; Tender Income</w:t>
            </w:r>
          </w:p>
        </w:tc>
        <w:tc>
          <w:tcPr>
            <w:tcW w:w="1404" w:type="dxa"/>
            <w:tcBorders>
              <w:top w:val="single" w:sz="8" w:space="0" w:color="auto"/>
              <w:left w:val="nil"/>
              <w:bottom w:val="nil"/>
              <w:right w:val="single" w:sz="8" w:space="0" w:color="000000"/>
            </w:tcBorders>
            <w:shd w:val="clear" w:color="auto" w:fill="auto"/>
            <w:noWrap/>
            <w:vAlign w:val="center"/>
          </w:tcPr>
          <w:p w:rsidR="007D3BF8" w:rsidRPr="00CC5F89" w:rsidRDefault="007D3BF8" w:rsidP="00304232">
            <w:pPr>
              <w:jc w:val="right"/>
              <w:rPr>
                <w:sz w:val="22"/>
                <w:szCs w:val="22"/>
                <w:lang w:val="en-US"/>
              </w:rPr>
            </w:pPr>
            <w:r>
              <w:rPr>
                <w:sz w:val="22"/>
                <w:szCs w:val="22"/>
                <w:lang w:val="en-US"/>
              </w:rPr>
              <w:t>217,158</w:t>
            </w:r>
          </w:p>
        </w:tc>
        <w:tc>
          <w:tcPr>
            <w:tcW w:w="1312" w:type="dxa"/>
            <w:tcBorders>
              <w:top w:val="single" w:sz="8" w:space="0" w:color="auto"/>
              <w:left w:val="single" w:sz="8" w:space="0" w:color="000000"/>
              <w:bottom w:val="nil"/>
              <w:right w:val="single" w:sz="4" w:space="0" w:color="auto"/>
            </w:tcBorders>
            <w:shd w:val="clear" w:color="auto" w:fill="auto"/>
            <w:noWrap/>
            <w:vAlign w:val="center"/>
          </w:tcPr>
          <w:p w:rsidR="007D3BF8" w:rsidRPr="00CC5F89" w:rsidRDefault="007D3BF8" w:rsidP="00304232">
            <w:pPr>
              <w:jc w:val="right"/>
              <w:rPr>
                <w:color w:val="FF0000"/>
                <w:sz w:val="22"/>
                <w:szCs w:val="22"/>
                <w:lang w:val="en-US"/>
              </w:rPr>
            </w:pPr>
          </w:p>
        </w:tc>
        <w:tc>
          <w:tcPr>
            <w:tcW w:w="866" w:type="dxa"/>
            <w:tcBorders>
              <w:top w:val="single" w:sz="8" w:space="0" w:color="auto"/>
              <w:left w:val="single" w:sz="8" w:space="0" w:color="000000"/>
              <w:bottom w:val="nil"/>
              <w:right w:val="single" w:sz="4" w:space="0" w:color="auto"/>
            </w:tcBorders>
          </w:tcPr>
          <w:p w:rsidR="007D3BF8" w:rsidRPr="00CC5F89" w:rsidRDefault="007D3BF8" w:rsidP="00304232">
            <w:pPr>
              <w:jc w:val="right"/>
              <w:rPr>
                <w:color w:val="FF0000"/>
                <w:sz w:val="22"/>
                <w:szCs w:val="22"/>
                <w:lang w:val="en-US"/>
              </w:rPr>
            </w:pPr>
          </w:p>
        </w:tc>
      </w:tr>
      <w:tr w:rsidR="007D3BF8" w:rsidRPr="00CC5F89" w:rsidTr="007D3BF8">
        <w:trPr>
          <w:trHeight w:val="313"/>
        </w:trPr>
        <w:tc>
          <w:tcPr>
            <w:tcW w:w="5724" w:type="dxa"/>
            <w:tcBorders>
              <w:top w:val="nil"/>
              <w:left w:val="single" w:sz="4" w:space="0" w:color="auto"/>
              <w:bottom w:val="nil"/>
              <w:right w:val="single" w:sz="8" w:space="0" w:color="000000"/>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 xml:space="preserve">Corporate Services Cluster - Human Resources </w:t>
            </w:r>
            <w:r>
              <w:rPr>
                <w:color w:val="000000"/>
                <w:sz w:val="22"/>
                <w:szCs w:val="22"/>
                <w:lang w:val="en-US"/>
              </w:rPr>
              <w:tab/>
            </w:r>
            <w:r w:rsidRPr="00CC5F89">
              <w:rPr>
                <w:color w:val="000000"/>
                <w:sz w:val="22"/>
                <w:szCs w:val="22"/>
                <w:lang w:val="en-US"/>
              </w:rPr>
              <w:t>Administration (SDL)</w:t>
            </w:r>
          </w:p>
        </w:tc>
        <w:tc>
          <w:tcPr>
            <w:tcW w:w="1404" w:type="dxa"/>
            <w:tcBorders>
              <w:top w:val="nil"/>
              <w:left w:val="nil"/>
              <w:bottom w:val="nil"/>
              <w:right w:val="single" w:sz="8" w:space="0" w:color="000000"/>
            </w:tcBorders>
            <w:shd w:val="clear" w:color="auto" w:fill="auto"/>
            <w:noWrap/>
            <w:vAlign w:val="center"/>
          </w:tcPr>
          <w:p w:rsidR="007D3BF8" w:rsidRPr="00CC5F89" w:rsidRDefault="007D3BF8" w:rsidP="00304232">
            <w:pPr>
              <w:jc w:val="right"/>
              <w:rPr>
                <w:sz w:val="22"/>
                <w:szCs w:val="22"/>
                <w:lang w:val="en-US"/>
              </w:rPr>
            </w:pPr>
            <w:r>
              <w:rPr>
                <w:sz w:val="22"/>
                <w:szCs w:val="22"/>
                <w:lang w:val="en-US"/>
              </w:rPr>
              <w:t>406,985</w:t>
            </w:r>
          </w:p>
        </w:tc>
        <w:tc>
          <w:tcPr>
            <w:tcW w:w="1312" w:type="dxa"/>
            <w:tcBorders>
              <w:top w:val="nil"/>
              <w:left w:val="single" w:sz="8" w:space="0" w:color="000000"/>
              <w:bottom w:val="nil"/>
              <w:right w:val="single" w:sz="4" w:space="0" w:color="auto"/>
            </w:tcBorders>
            <w:shd w:val="clear" w:color="auto" w:fill="auto"/>
            <w:noWrap/>
            <w:vAlign w:val="center"/>
          </w:tcPr>
          <w:p w:rsidR="007D3BF8" w:rsidRPr="00CC5F89" w:rsidRDefault="007D3BF8" w:rsidP="00304232">
            <w:pPr>
              <w:jc w:val="right"/>
              <w:rPr>
                <w:color w:val="FF0000"/>
                <w:sz w:val="22"/>
                <w:szCs w:val="22"/>
                <w:lang w:val="en-US"/>
              </w:rPr>
            </w:pPr>
          </w:p>
        </w:tc>
        <w:tc>
          <w:tcPr>
            <w:tcW w:w="866" w:type="dxa"/>
            <w:tcBorders>
              <w:top w:val="nil"/>
              <w:left w:val="single" w:sz="8" w:space="0" w:color="000000"/>
              <w:bottom w:val="nil"/>
              <w:right w:val="single" w:sz="4" w:space="0" w:color="auto"/>
            </w:tcBorders>
          </w:tcPr>
          <w:p w:rsidR="007D3BF8" w:rsidRPr="00CC5F89" w:rsidRDefault="007D3BF8" w:rsidP="00304232">
            <w:pPr>
              <w:jc w:val="right"/>
              <w:rPr>
                <w:color w:val="FF0000"/>
                <w:sz w:val="22"/>
                <w:szCs w:val="22"/>
                <w:lang w:val="en-US"/>
              </w:rPr>
            </w:pPr>
          </w:p>
        </w:tc>
      </w:tr>
      <w:tr w:rsidR="007D3BF8" w:rsidRPr="00CC5F89" w:rsidTr="007D3BF8">
        <w:trPr>
          <w:trHeight w:val="313"/>
        </w:trPr>
        <w:tc>
          <w:tcPr>
            <w:tcW w:w="5724" w:type="dxa"/>
            <w:tcBorders>
              <w:top w:val="nil"/>
              <w:left w:val="single" w:sz="4" w:space="0" w:color="auto"/>
              <w:bottom w:val="nil"/>
              <w:right w:val="single" w:sz="8" w:space="0" w:color="000000"/>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Telephone Income</w:t>
            </w:r>
          </w:p>
        </w:tc>
        <w:tc>
          <w:tcPr>
            <w:tcW w:w="1404" w:type="dxa"/>
            <w:tcBorders>
              <w:top w:val="nil"/>
              <w:left w:val="nil"/>
              <w:bottom w:val="nil"/>
              <w:right w:val="single" w:sz="8" w:space="0" w:color="000000"/>
            </w:tcBorders>
            <w:shd w:val="clear" w:color="auto" w:fill="auto"/>
            <w:noWrap/>
            <w:vAlign w:val="center"/>
          </w:tcPr>
          <w:p w:rsidR="007D3BF8" w:rsidRPr="00CC5F89" w:rsidRDefault="007D3BF8" w:rsidP="00304232">
            <w:pPr>
              <w:jc w:val="right"/>
              <w:rPr>
                <w:sz w:val="22"/>
                <w:szCs w:val="22"/>
                <w:lang w:val="en-US"/>
              </w:rPr>
            </w:pPr>
            <w:r>
              <w:rPr>
                <w:sz w:val="22"/>
                <w:szCs w:val="22"/>
                <w:lang w:val="en-US"/>
              </w:rPr>
              <w:t>0</w:t>
            </w:r>
          </w:p>
        </w:tc>
        <w:tc>
          <w:tcPr>
            <w:tcW w:w="1312" w:type="dxa"/>
            <w:tcBorders>
              <w:top w:val="nil"/>
              <w:left w:val="single" w:sz="8" w:space="0" w:color="000000"/>
              <w:bottom w:val="nil"/>
              <w:right w:val="single" w:sz="4" w:space="0" w:color="auto"/>
            </w:tcBorders>
            <w:shd w:val="clear" w:color="auto" w:fill="auto"/>
            <w:noWrap/>
            <w:vAlign w:val="center"/>
          </w:tcPr>
          <w:p w:rsidR="007D3BF8" w:rsidRPr="00CC5F89" w:rsidRDefault="007D3BF8" w:rsidP="00304232">
            <w:pPr>
              <w:jc w:val="right"/>
              <w:rPr>
                <w:color w:val="FF0000"/>
                <w:sz w:val="22"/>
                <w:szCs w:val="22"/>
                <w:lang w:val="en-US"/>
              </w:rPr>
            </w:pPr>
          </w:p>
        </w:tc>
        <w:tc>
          <w:tcPr>
            <w:tcW w:w="866" w:type="dxa"/>
            <w:tcBorders>
              <w:top w:val="nil"/>
              <w:left w:val="single" w:sz="8" w:space="0" w:color="000000"/>
              <w:bottom w:val="nil"/>
              <w:right w:val="single" w:sz="4" w:space="0" w:color="auto"/>
            </w:tcBorders>
          </w:tcPr>
          <w:p w:rsidR="007D3BF8" w:rsidRPr="00CC5F89" w:rsidRDefault="007D3BF8" w:rsidP="00304232">
            <w:pPr>
              <w:jc w:val="right"/>
              <w:rPr>
                <w:color w:val="FF0000"/>
                <w:sz w:val="22"/>
                <w:szCs w:val="22"/>
                <w:lang w:val="en-US"/>
              </w:rPr>
            </w:pPr>
          </w:p>
        </w:tc>
      </w:tr>
      <w:tr w:rsidR="007D3BF8" w:rsidRPr="00CC5F89" w:rsidTr="007D3BF8">
        <w:trPr>
          <w:trHeight w:val="313"/>
        </w:trPr>
        <w:tc>
          <w:tcPr>
            <w:tcW w:w="5724" w:type="dxa"/>
            <w:tcBorders>
              <w:top w:val="nil"/>
              <w:left w:val="single" w:sz="4" w:space="0" w:color="auto"/>
              <w:bottom w:val="single" w:sz="8" w:space="0" w:color="auto"/>
              <w:right w:val="single" w:sz="8" w:space="0" w:color="000000"/>
            </w:tcBorders>
            <w:shd w:val="clear" w:color="auto" w:fill="auto"/>
            <w:noWrap/>
            <w:vAlign w:val="center"/>
          </w:tcPr>
          <w:p w:rsidR="007D3BF8" w:rsidRPr="00CC5F89" w:rsidRDefault="007D3BF8" w:rsidP="00304232">
            <w:pPr>
              <w:ind w:firstLineChars="200" w:firstLine="440"/>
              <w:rPr>
                <w:color w:val="000000"/>
                <w:sz w:val="22"/>
                <w:szCs w:val="22"/>
                <w:lang w:val="en-US"/>
              </w:rPr>
            </w:pPr>
            <w:r w:rsidRPr="00CC5F89">
              <w:rPr>
                <w:color w:val="000000"/>
                <w:sz w:val="22"/>
                <w:szCs w:val="22"/>
                <w:lang w:val="en-US"/>
              </w:rPr>
              <w:t>Vereeniging Airport (Airfield Fuel and Usage Fees)</w:t>
            </w:r>
          </w:p>
        </w:tc>
        <w:tc>
          <w:tcPr>
            <w:tcW w:w="1404" w:type="dxa"/>
            <w:tcBorders>
              <w:top w:val="nil"/>
              <w:left w:val="nil"/>
              <w:bottom w:val="single" w:sz="8" w:space="0" w:color="auto"/>
              <w:right w:val="single" w:sz="8" w:space="0" w:color="000000"/>
            </w:tcBorders>
            <w:shd w:val="clear" w:color="auto" w:fill="auto"/>
            <w:noWrap/>
            <w:vAlign w:val="center"/>
          </w:tcPr>
          <w:p w:rsidR="007D3BF8" w:rsidRPr="00CC5F89" w:rsidRDefault="007D3BF8" w:rsidP="00304232">
            <w:pPr>
              <w:jc w:val="right"/>
              <w:rPr>
                <w:sz w:val="22"/>
                <w:szCs w:val="22"/>
                <w:lang w:val="en-US"/>
              </w:rPr>
            </w:pPr>
            <w:r>
              <w:rPr>
                <w:sz w:val="22"/>
                <w:szCs w:val="22"/>
                <w:lang w:val="en-US"/>
              </w:rPr>
              <w:t>3,000,000</w:t>
            </w:r>
          </w:p>
        </w:tc>
        <w:tc>
          <w:tcPr>
            <w:tcW w:w="1312" w:type="dxa"/>
            <w:tcBorders>
              <w:top w:val="nil"/>
              <w:left w:val="single" w:sz="8" w:space="0" w:color="000000"/>
              <w:bottom w:val="single" w:sz="8" w:space="0" w:color="auto"/>
              <w:right w:val="single" w:sz="4" w:space="0" w:color="auto"/>
            </w:tcBorders>
            <w:shd w:val="clear" w:color="auto" w:fill="auto"/>
            <w:noWrap/>
            <w:vAlign w:val="center"/>
          </w:tcPr>
          <w:p w:rsidR="007D3BF8" w:rsidRPr="00CC5F89" w:rsidRDefault="007D3BF8" w:rsidP="00304232">
            <w:pPr>
              <w:jc w:val="right"/>
              <w:rPr>
                <w:color w:val="FF0000"/>
                <w:sz w:val="22"/>
                <w:szCs w:val="22"/>
                <w:lang w:val="en-US"/>
              </w:rPr>
            </w:pPr>
          </w:p>
        </w:tc>
        <w:tc>
          <w:tcPr>
            <w:tcW w:w="866" w:type="dxa"/>
            <w:tcBorders>
              <w:top w:val="nil"/>
              <w:left w:val="single" w:sz="8" w:space="0" w:color="000000"/>
              <w:bottom w:val="single" w:sz="8" w:space="0" w:color="auto"/>
              <w:right w:val="single" w:sz="4" w:space="0" w:color="auto"/>
            </w:tcBorders>
          </w:tcPr>
          <w:p w:rsidR="007D3BF8" w:rsidRPr="00CC5F89" w:rsidRDefault="007D3BF8" w:rsidP="00304232">
            <w:pPr>
              <w:jc w:val="right"/>
              <w:rPr>
                <w:color w:val="FF0000"/>
                <w:sz w:val="22"/>
                <w:szCs w:val="22"/>
                <w:lang w:val="en-US"/>
              </w:rPr>
            </w:pPr>
          </w:p>
        </w:tc>
      </w:tr>
      <w:tr w:rsidR="007D3BF8" w:rsidRPr="00CC5F89" w:rsidTr="007D3BF8">
        <w:trPr>
          <w:trHeight w:val="313"/>
        </w:trPr>
        <w:tc>
          <w:tcPr>
            <w:tcW w:w="5724" w:type="dxa"/>
            <w:tcBorders>
              <w:top w:val="single" w:sz="8" w:space="0" w:color="auto"/>
              <w:left w:val="single" w:sz="4" w:space="0" w:color="auto"/>
              <w:bottom w:val="single" w:sz="8" w:space="0" w:color="auto"/>
              <w:right w:val="single" w:sz="8" w:space="0" w:color="000000"/>
            </w:tcBorders>
            <w:shd w:val="clear" w:color="auto" w:fill="auto"/>
            <w:noWrap/>
            <w:vAlign w:val="center"/>
          </w:tcPr>
          <w:p w:rsidR="007D3BF8" w:rsidRPr="007D3BF8" w:rsidRDefault="007D3BF8" w:rsidP="0060262D">
            <w:pPr>
              <w:rPr>
                <w:i/>
                <w:color w:val="000000"/>
                <w:sz w:val="22"/>
                <w:szCs w:val="22"/>
                <w:u w:val="single"/>
                <w:lang w:val="en-US"/>
              </w:rPr>
            </w:pPr>
            <w:r w:rsidRPr="007D3BF8">
              <w:rPr>
                <w:i/>
                <w:color w:val="000000"/>
                <w:sz w:val="22"/>
                <w:szCs w:val="22"/>
                <w:u w:val="single"/>
                <w:lang w:val="en-US"/>
              </w:rPr>
              <w:t>Gain on disposal of PPE</w:t>
            </w:r>
          </w:p>
        </w:tc>
        <w:tc>
          <w:tcPr>
            <w:tcW w:w="1404" w:type="dxa"/>
            <w:tcBorders>
              <w:top w:val="single" w:sz="8" w:space="0" w:color="auto"/>
              <w:left w:val="nil"/>
              <w:bottom w:val="single" w:sz="8" w:space="0" w:color="auto"/>
              <w:right w:val="single" w:sz="8" w:space="0" w:color="000000"/>
            </w:tcBorders>
            <w:shd w:val="clear" w:color="auto" w:fill="auto"/>
            <w:noWrap/>
            <w:vAlign w:val="center"/>
          </w:tcPr>
          <w:p w:rsidR="007D3BF8" w:rsidRPr="007D3BF8" w:rsidRDefault="007D3BF8" w:rsidP="00304232">
            <w:pPr>
              <w:jc w:val="right"/>
              <w:rPr>
                <w:i/>
                <w:sz w:val="22"/>
                <w:szCs w:val="22"/>
                <w:lang w:val="en-US"/>
              </w:rPr>
            </w:pPr>
          </w:p>
        </w:tc>
        <w:tc>
          <w:tcPr>
            <w:tcW w:w="1312" w:type="dxa"/>
            <w:tcBorders>
              <w:top w:val="single" w:sz="8" w:space="0" w:color="auto"/>
              <w:left w:val="single" w:sz="8" w:space="0" w:color="000000"/>
              <w:bottom w:val="single" w:sz="8" w:space="0" w:color="auto"/>
              <w:right w:val="single" w:sz="4" w:space="0" w:color="auto"/>
            </w:tcBorders>
            <w:shd w:val="clear" w:color="auto" w:fill="auto"/>
            <w:noWrap/>
            <w:vAlign w:val="center"/>
          </w:tcPr>
          <w:p w:rsidR="007D3BF8" w:rsidRPr="007D3BF8" w:rsidRDefault="007D3BF8" w:rsidP="00304232">
            <w:pPr>
              <w:jc w:val="right"/>
              <w:rPr>
                <w:i/>
                <w:sz w:val="22"/>
                <w:szCs w:val="22"/>
                <w:lang w:val="en-US"/>
              </w:rPr>
            </w:pPr>
            <w:r w:rsidRPr="007D3BF8">
              <w:rPr>
                <w:i/>
                <w:sz w:val="22"/>
                <w:szCs w:val="22"/>
                <w:lang w:val="en-US"/>
              </w:rPr>
              <w:t>100,000</w:t>
            </w:r>
          </w:p>
        </w:tc>
        <w:tc>
          <w:tcPr>
            <w:tcW w:w="866" w:type="dxa"/>
            <w:tcBorders>
              <w:top w:val="single" w:sz="8" w:space="0" w:color="auto"/>
              <w:left w:val="single" w:sz="8" w:space="0" w:color="000000"/>
              <w:bottom w:val="single" w:sz="8" w:space="0" w:color="auto"/>
              <w:right w:val="single" w:sz="4" w:space="0" w:color="auto"/>
            </w:tcBorders>
          </w:tcPr>
          <w:p w:rsidR="007D3BF8" w:rsidRPr="007D3BF8" w:rsidRDefault="001B6E86" w:rsidP="00304232">
            <w:pPr>
              <w:jc w:val="right"/>
              <w:rPr>
                <w:i/>
                <w:sz w:val="22"/>
                <w:szCs w:val="22"/>
                <w:lang w:val="en-US"/>
              </w:rPr>
            </w:pPr>
            <w:r>
              <w:rPr>
                <w:i/>
                <w:sz w:val="22"/>
                <w:szCs w:val="22"/>
                <w:lang w:val="en-US"/>
              </w:rPr>
              <w:t>0.03%</w:t>
            </w:r>
          </w:p>
        </w:tc>
      </w:tr>
      <w:tr w:rsidR="007D3BF8" w:rsidRPr="00CC5F89" w:rsidTr="007D3BF8">
        <w:trPr>
          <w:trHeight w:val="313"/>
        </w:trPr>
        <w:tc>
          <w:tcPr>
            <w:tcW w:w="5724" w:type="dxa"/>
            <w:tcBorders>
              <w:top w:val="single" w:sz="8" w:space="0" w:color="auto"/>
              <w:left w:val="single" w:sz="4" w:space="0" w:color="auto"/>
              <w:bottom w:val="nil"/>
              <w:right w:val="single" w:sz="8" w:space="0" w:color="000000"/>
            </w:tcBorders>
            <w:shd w:val="clear" w:color="auto" w:fill="auto"/>
            <w:noWrap/>
            <w:vAlign w:val="center"/>
          </w:tcPr>
          <w:p w:rsidR="007D3BF8" w:rsidRPr="00CC5F89" w:rsidRDefault="007D3BF8" w:rsidP="00304232">
            <w:pPr>
              <w:ind w:firstLineChars="200" w:firstLine="440"/>
              <w:rPr>
                <w:color w:val="000000"/>
                <w:sz w:val="22"/>
                <w:szCs w:val="22"/>
                <w:lang w:val="en-US"/>
              </w:rPr>
            </w:pPr>
          </w:p>
        </w:tc>
        <w:tc>
          <w:tcPr>
            <w:tcW w:w="1404" w:type="dxa"/>
            <w:tcBorders>
              <w:top w:val="single" w:sz="8" w:space="0" w:color="auto"/>
              <w:left w:val="nil"/>
              <w:bottom w:val="nil"/>
              <w:right w:val="single" w:sz="8" w:space="0" w:color="000000"/>
            </w:tcBorders>
            <w:shd w:val="clear" w:color="auto" w:fill="auto"/>
            <w:noWrap/>
            <w:vAlign w:val="center"/>
          </w:tcPr>
          <w:p w:rsidR="007D3BF8" w:rsidRDefault="007D3BF8" w:rsidP="00304232">
            <w:pPr>
              <w:jc w:val="right"/>
              <w:rPr>
                <w:sz w:val="22"/>
                <w:szCs w:val="22"/>
                <w:lang w:val="en-US"/>
              </w:rPr>
            </w:pPr>
          </w:p>
        </w:tc>
        <w:tc>
          <w:tcPr>
            <w:tcW w:w="1312" w:type="dxa"/>
            <w:tcBorders>
              <w:top w:val="single" w:sz="8" w:space="0" w:color="auto"/>
              <w:left w:val="single" w:sz="8" w:space="0" w:color="000000"/>
              <w:bottom w:val="nil"/>
              <w:right w:val="single" w:sz="4" w:space="0" w:color="auto"/>
            </w:tcBorders>
            <w:shd w:val="clear" w:color="auto" w:fill="auto"/>
            <w:noWrap/>
            <w:vAlign w:val="center"/>
          </w:tcPr>
          <w:p w:rsidR="007D3BF8" w:rsidRPr="00CC5F89" w:rsidRDefault="007D3BF8" w:rsidP="00304232">
            <w:pPr>
              <w:jc w:val="right"/>
              <w:rPr>
                <w:color w:val="FF0000"/>
                <w:sz w:val="22"/>
                <w:szCs w:val="22"/>
                <w:lang w:val="en-US"/>
              </w:rPr>
            </w:pPr>
          </w:p>
        </w:tc>
        <w:tc>
          <w:tcPr>
            <w:tcW w:w="866" w:type="dxa"/>
            <w:tcBorders>
              <w:top w:val="single" w:sz="8" w:space="0" w:color="auto"/>
              <w:left w:val="single" w:sz="8" w:space="0" w:color="000000"/>
              <w:bottom w:val="nil"/>
              <w:right w:val="single" w:sz="4" w:space="0" w:color="auto"/>
            </w:tcBorders>
          </w:tcPr>
          <w:p w:rsidR="007D3BF8" w:rsidRPr="00CC5F89" w:rsidRDefault="007D3BF8" w:rsidP="00304232">
            <w:pPr>
              <w:jc w:val="right"/>
              <w:rPr>
                <w:color w:val="FF0000"/>
                <w:sz w:val="22"/>
                <w:szCs w:val="22"/>
                <w:lang w:val="en-US"/>
              </w:rPr>
            </w:pPr>
          </w:p>
        </w:tc>
      </w:tr>
      <w:tr w:rsidR="007D3BF8" w:rsidRPr="00CC5F89" w:rsidTr="007D3BF8">
        <w:trPr>
          <w:trHeight w:val="313"/>
        </w:trPr>
        <w:tc>
          <w:tcPr>
            <w:tcW w:w="5724" w:type="dxa"/>
            <w:tcBorders>
              <w:top w:val="single" w:sz="4" w:space="0" w:color="auto"/>
              <w:left w:val="single" w:sz="4" w:space="0" w:color="auto"/>
              <w:bottom w:val="single" w:sz="4" w:space="0" w:color="auto"/>
              <w:right w:val="single" w:sz="8" w:space="0" w:color="000000"/>
            </w:tcBorders>
            <w:shd w:val="clear" w:color="auto" w:fill="auto"/>
            <w:noWrap/>
            <w:vAlign w:val="center"/>
          </w:tcPr>
          <w:p w:rsidR="007D3BF8" w:rsidRPr="00CC5F89" w:rsidRDefault="007D3BF8" w:rsidP="00304232">
            <w:pPr>
              <w:rPr>
                <w:b/>
                <w:bCs/>
                <w:color w:val="000000"/>
                <w:sz w:val="22"/>
                <w:szCs w:val="22"/>
                <w:lang w:val="en-US"/>
              </w:rPr>
            </w:pPr>
            <w:r w:rsidRPr="00CC5F89">
              <w:rPr>
                <w:b/>
                <w:bCs/>
                <w:color w:val="000000"/>
                <w:sz w:val="22"/>
                <w:szCs w:val="22"/>
                <w:lang w:val="en-US"/>
              </w:rPr>
              <w:t>Total Operating Revenue</w:t>
            </w:r>
            <w:r>
              <w:rPr>
                <w:b/>
                <w:bCs/>
                <w:color w:val="000000"/>
                <w:sz w:val="22"/>
                <w:szCs w:val="22"/>
                <w:lang w:val="en-US"/>
              </w:rPr>
              <w:t xml:space="preserve"> by Source</w:t>
            </w:r>
          </w:p>
        </w:tc>
        <w:tc>
          <w:tcPr>
            <w:tcW w:w="1404" w:type="dxa"/>
            <w:tcBorders>
              <w:top w:val="single" w:sz="4" w:space="0" w:color="auto"/>
              <w:left w:val="nil"/>
              <w:bottom w:val="single" w:sz="4" w:space="0" w:color="auto"/>
              <w:right w:val="single" w:sz="8" w:space="0" w:color="000000"/>
            </w:tcBorders>
            <w:shd w:val="clear" w:color="auto" w:fill="auto"/>
            <w:noWrap/>
            <w:vAlign w:val="center"/>
          </w:tcPr>
          <w:p w:rsidR="007D3BF8" w:rsidRPr="00CC5F89" w:rsidRDefault="007D3BF8" w:rsidP="00304232">
            <w:pPr>
              <w:jc w:val="right"/>
              <w:rPr>
                <w:b/>
                <w:bCs/>
                <w:color w:val="FF0000"/>
                <w:sz w:val="22"/>
                <w:szCs w:val="22"/>
                <w:lang w:val="en-US"/>
              </w:rPr>
            </w:pPr>
          </w:p>
        </w:tc>
        <w:tc>
          <w:tcPr>
            <w:tcW w:w="1312"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7D3BF8" w:rsidRPr="00CC5F89" w:rsidRDefault="007D3BF8" w:rsidP="007D3BF8">
            <w:pPr>
              <w:jc w:val="right"/>
              <w:rPr>
                <w:b/>
                <w:bCs/>
                <w:sz w:val="22"/>
                <w:szCs w:val="22"/>
                <w:lang w:val="en-US"/>
              </w:rPr>
            </w:pPr>
            <w:r w:rsidRPr="007E29AB">
              <w:rPr>
                <w:b/>
                <w:bCs/>
                <w:sz w:val="22"/>
                <w:szCs w:val="22"/>
                <w:lang w:val="en-US"/>
              </w:rPr>
              <w:t>364,</w:t>
            </w:r>
            <w:r>
              <w:rPr>
                <w:b/>
                <w:bCs/>
                <w:sz w:val="22"/>
                <w:szCs w:val="22"/>
                <w:lang w:val="en-US"/>
              </w:rPr>
              <w:t>637</w:t>
            </w:r>
            <w:r w:rsidRPr="007E29AB">
              <w:rPr>
                <w:b/>
                <w:bCs/>
                <w:sz w:val="22"/>
                <w:szCs w:val="22"/>
                <w:lang w:val="en-US"/>
              </w:rPr>
              <w:t>,</w:t>
            </w:r>
            <w:r>
              <w:rPr>
                <w:b/>
                <w:bCs/>
                <w:sz w:val="22"/>
                <w:szCs w:val="22"/>
                <w:lang w:val="en-US"/>
              </w:rPr>
              <w:t>443</w:t>
            </w:r>
          </w:p>
        </w:tc>
        <w:tc>
          <w:tcPr>
            <w:tcW w:w="866" w:type="dxa"/>
            <w:tcBorders>
              <w:top w:val="single" w:sz="4" w:space="0" w:color="auto"/>
              <w:left w:val="single" w:sz="8" w:space="0" w:color="000000"/>
              <w:bottom w:val="single" w:sz="4" w:space="0" w:color="auto"/>
              <w:right w:val="single" w:sz="4" w:space="0" w:color="auto"/>
            </w:tcBorders>
          </w:tcPr>
          <w:p w:rsidR="007D3BF8" w:rsidRPr="007E29AB" w:rsidRDefault="007D3BF8" w:rsidP="007D3BF8">
            <w:pPr>
              <w:jc w:val="right"/>
              <w:rPr>
                <w:b/>
                <w:bCs/>
                <w:sz w:val="22"/>
                <w:szCs w:val="22"/>
                <w:lang w:val="en-US"/>
              </w:rPr>
            </w:pPr>
          </w:p>
        </w:tc>
      </w:tr>
    </w:tbl>
    <w:p w:rsidR="00B82881" w:rsidRDefault="00B82881"/>
    <w:p w:rsidR="00820260" w:rsidRDefault="00820260">
      <w:r>
        <w:br w:type="page"/>
      </w:r>
    </w:p>
    <w:tbl>
      <w:tblPr>
        <w:tblW w:w="9165" w:type="dxa"/>
        <w:tblInd w:w="328" w:type="dxa"/>
        <w:tblLook w:val="00A0" w:firstRow="1" w:lastRow="0" w:firstColumn="1" w:lastColumn="0" w:noHBand="0" w:noVBand="0"/>
      </w:tblPr>
      <w:tblGrid>
        <w:gridCol w:w="5889"/>
        <w:gridCol w:w="1096"/>
        <w:gridCol w:w="2180"/>
      </w:tblGrid>
      <w:tr w:rsidR="0010763E" w:rsidRPr="003F3CA9" w:rsidTr="003F3CA9">
        <w:trPr>
          <w:trHeight w:val="315"/>
        </w:trPr>
        <w:tc>
          <w:tcPr>
            <w:tcW w:w="5889" w:type="dxa"/>
            <w:tcBorders>
              <w:top w:val="single" w:sz="12" w:space="0" w:color="000000"/>
              <w:left w:val="single" w:sz="4" w:space="0" w:color="auto"/>
              <w:bottom w:val="nil"/>
              <w:right w:val="single" w:sz="8" w:space="0" w:color="000000"/>
            </w:tcBorders>
            <w:shd w:val="clear" w:color="auto" w:fill="auto"/>
            <w:noWrap/>
            <w:vAlign w:val="center"/>
          </w:tcPr>
          <w:p w:rsidR="0010763E" w:rsidRPr="003F3CA9" w:rsidRDefault="0010763E" w:rsidP="00BC3508">
            <w:pPr>
              <w:jc w:val="center"/>
              <w:rPr>
                <w:b/>
                <w:bCs/>
                <w:color w:val="000000"/>
                <w:sz w:val="22"/>
                <w:szCs w:val="22"/>
                <w:lang w:val="en-US"/>
              </w:rPr>
            </w:pPr>
            <w:r w:rsidRPr="003F3CA9">
              <w:rPr>
                <w:b/>
                <w:bCs/>
                <w:color w:val="000000"/>
                <w:sz w:val="22"/>
                <w:szCs w:val="22"/>
                <w:lang w:val="en-US"/>
              </w:rPr>
              <w:lastRenderedPageBreak/>
              <w:t>DESCRIPTION</w:t>
            </w:r>
          </w:p>
        </w:tc>
        <w:tc>
          <w:tcPr>
            <w:tcW w:w="1096" w:type="dxa"/>
            <w:tcBorders>
              <w:top w:val="single" w:sz="12" w:space="0" w:color="000000"/>
              <w:left w:val="nil"/>
              <w:bottom w:val="nil"/>
              <w:right w:val="nil"/>
            </w:tcBorders>
            <w:shd w:val="clear" w:color="auto" w:fill="auto"/>
            <w:noWrap/>
            <w:vAlign w:val="center"/>
          </w:tcPr>
          <w:p w:rsidR="0010763E" w:rsidRPr="003F3CA9" w:rsidRDefault="00205F08" w:rsidP="00BC3508">
            <w:pPr>
              <w:jc w:val="center"/>
              <w:rPr>
                <w:b/>
                <w:bCs/>
                <w:sz w:val="22"/>
                <w:szCs w:val="22"/>
                <w:lang w:val="en-US"/>
              </w:rPr>
            </w:pPr>
            <w:r w:rsidRPr="003F3CA9">
              <w:rPr>
                <w:b/>
                <w:bCs/>
                <w:sz w:val="22"/>
                <w:szCs w:val="22"/>
                <w:lang w:val="en-US"/>
              </w:rPr>
              <w:t>%</w:t>
            </w:r>
          </w:p>
        </w:tc>
        <w:tc>
          <w:tcPr>
            <w:tcW w:w="2180" w:type="dxa"/>
            <w:tcBorders>
              <w:top w:val="single" w:sz="12" w:space="0" w:color="000000"/>
              <w:left w:val="nil"/>
              <w:bottom w:val="nil"/>
              <w:right w:val="single" w:sz="4" w:space="0" w:color="auto"/>
            </w:tcBorders>
            <w:shd w:val="clear" w:color="auto" w:fill="auto"/>
            <w:noWrap/>
            <w:vAlign w:val="center"/>
          </w:tcPr>
          <w:p w:rsidR="007B23A3" w:rsidRPr="003F3CA9" w:rsidRDefault="0010763E" w:rsidP="00E3598B">
            <w:pPr>
              <w:jc w:val="center"/>
              <w:rPr>
                <w:b/>
                <w:bCs/>
                <w:sz w:val="22"/>
                <w:szCs w:val="22"/>
                <w:lang w:val="en-US"/>
              </w:rPr>
            </w:pPr>
            <w:r w:rsidRPr="003F3CA9">
              <w:rPr>
                <w:b/>
                <w:bCs/>
                <w:sz w:val="22"/>
                <w:szCs w:val="22"/>
                <w:lang w:val="en-US"/>
              </w:rPr>
              <w:t>BUDGET  1</w:t>
            </w:r>
            <w:r w:rsidR="005E4CF4" w:rsidRPr="003F3CA9">
              <w:rPr>
                <w:b/>
                <w:bCs/>
                <w:sz w:val="22"/>
                <w:szCs w:val="22"/>
                <w:lang w:val="en-US"/>
              </w:rPr>
              <w:t>7</w:t>
            </w:r>
            <w:r w:rsidRPr="003F3CA9">
              <w:rPr>
                <w:b/>
                <w:bCs/>
                <w:sz w:val="22"/>
                <w:szCs w:val="22"/>
                <w:lang w:val="en-US"/>
              </w:rPr>
              <w:t>/1</w:t>
            </w:r>
            <w:r w:rsidR="005E4CF4" w:rsidRPr="003F3CA9">
              <w:rPr>
                <w:b/>
                <w:bCs/>
                <w:sz w:val="22"/>
                <w:szCs w:val="22"/>
                <w:lang w:val="en-US"/>
              </w:rPr>
              <w:t>8</w:t>
            </w:r>
          </w:p>
          <w:p w:rsidR="0010763E" w:rsidRPr="003F3CA9" w:rsidRDefault="00520E66" w:rsidP="00520E66">
            <w:pPr>
              <w:jc w:val="center"/>
              <w:rPr>
                <w:b/>
                <w:bCs/>
                <w:color w:val="FF0000"/>
                <w:sz w:val="22"/>
                <w:szCs w:val="22"/>
                <w:lang w:val="en-US"/>
              </w:rPr>
            </w:pPr>
            <w:r w:rsidRPr="003F3CA9">
              <w:rPr>
                <w:b/>
                <w:bCs/>
                <w:sz w:val="22"/>
                <w:szCs w:val="22"/>
                <w:lang w:val="en-US"/>
              </w:rPr>
              <w:t>R</w:t>
            </w:r>
          </w:p>
        </w:tc>
      </w:tr>
      <w:tr w:rsidR="0010763E" w:rsidRPr="003F3CA9" w:rsidTr="003F3CA9">
        <w:trPr>
          <w:trHeight w:val="315"/>
        </w:trPr>
        <w:tc>
          <w:tcPr>
            <w:tcW w:w="5889" w:type="dxa"/>
            <w:tcBorders>
              <w:top w:val="nil"/>
              <w:left w:val="single" w:sz="4" w:space="0" w:color="auto"/>
              <w:bottom w:val="nil"/>
              <w:right w:val="single" w:sz="8" w:space="0" w:color="000000"/>
            </w:tcBorders>
            <w:shd w:val="clear" w:color="auto" w:fill="auto"/>
            <w:noWrap/>
            <w:vAlign w:val="center"/>
          </w:tcPr>
          <w:p w:rsidR="0010763E" w:rsidRPr="003F3CA9" w:rsidRDefault="0010763E" w:rsidP="002E1E90">
            <w:pPr>
              <w:rPr>
                <w:b/>
                <w:bCs/>
                <w:color w:val="000000"/>
                <w:sz w:val="22"/>
                <w:szCs w:val="22"/>
                <w:u w:val="single"/>
                <w:lang w:val="en-US"/>
              </w:rPr>
            </w:pPr>
            <w:r w:rsidRPr="003F3CA9">
              <w:rPr>
                <w:b/>
                <w:bCs/>
                <w:color w:val="000000"/>
                <w:sz w:val="22"/>
                <w:szCs w:val="22"/>
                <w:u w:val="single"/>
                <w:lang w:val="en-US"/>
              </w:rPr>
              <w:t>B.  OPERATING EXPENDITURE</w:t>
            </w:r>
            <w:r w:rsidR="005E4CF4" w:rsidRPr="003F3CA9">
              <w:rPr>
                <w:b/>
                <w:bCs/>
                <w:color w:val="000000"/>
                <w:sz w:val="22"/>
                <w:szCs w:val="22"/>
                <w:u w:val="single"/>
                <w:lang w:val="en-US"/>
              </w:rPr>
              <w:t xml:space="preserve"> BY CATEGORY</w:t>
            </w:r>
          </w:p>
        </w:tc>
        <w:tc>
          <w:tcPr>
            <w:tcW w:w="1096" w:type="dxa"/>
            <w:tcBorders>
              <w:top w:val="nil"/>
              <w:left w:val="nil"/>
              <w:bottom w:val="nil"/>
              <w:right w:val="nil"/>
            </w:tcBorders>
            <w:shd w:val="clear" w:color="auto" w:fill="auto"/>
            <w:noWrap/>
            <w:vAlign w:val="center"/>
          </w:tcPr>
          <w:p w:rsidR="0010763E" w:rsidRPr="003F3CA9" w:rsidRDefault="0010763E" w:rsidP="002E1E90">
            <w:pPr>
              <w:jc w:val="right"/>
              <w:rPr>
                <w:b/>
                <w:bCs/>
                <w:color w:val="FF0000"/>
                <w:sz w:val="22"/>
                <w:szCs w:val="22"/>
                <w:u w:val="single"/>
                <w:lang w:val="en-US"/>
              </w:rPr>
            </w:pPr>
          </w:p>
        </w:tc>
        <w:tc>
          <w:tcPr>
            <w:tcW w:w="2180" w:type="dxa"/>
            <w:tcBorders>
              <w:top w:val="nil"/>
              <w:left w:val="nil"/>
              <w:bottom w:val="nil"/>
              <w:right w:val="single" w:sz="4" w:space="0" w:color="auto"/>
            </w:tcBorders>
            <w:shd w:val="clear" w:color="auto" w:fill="auto"/>
            <w:noWrap/>
            <w:vAlign w:val="center"/>
          </w:tcPr>
          <w:p w:rsidR="0010763E" w:rsidRPr="003F3CA9" w:rsidRDefault="0010763E" w:rsidP="002E1E90">
            <w:pPr>
              <w:jc w:val="right"/>
              <w:rPr>
                <w:color w:val="FF0000"/>
                <w:sz w:val="22"/>
                <w:szCs w:val="22"/>
                <w:lang w:val="en-US"/>
              </w:rPr>
            </w:pPr>
            <w:r w:rsidRPr="003F3CA9">
              <w:rPr>
                <w:color w:val="FF0000"/>
                <w:sz w:val="22"/>
                <w:szCs w:val="22"/>
                <w:lang w:val="en-US"/>
              </w:rPr>
              <w:t> </w:t>
            </w:r>
          </w:p>
        </w:tc>
      </w:tr>
      <w:tr w:rsidR="003F3CA9" w:rsidRPr="003F3CA9" w:rsidTr="003F3CA9">
        <w:trPr>
          <w:trHeight w:val="315"/>
        </w:trPr>
        <w:tc>
          <w:tcPr>
            <w:tcW w:w="5889" w:type="dxa"/>
            <w:tcBorders>
              <w:top w:val="nil"/>
              <w:left w:val="single" w:sz="4" w:space="0" w:color="auto"/>
              <w:bottom w:val="nil"/>
              <w:right w:val="single" w:sz="8" w:space="0" w:color="000000"/>
            </w:tcBorders>
            <w:shd w:val="clear" w:color="auto" w:fill="auto"/>
            <w:noWrap/>
          </w:tcPr>
          <w:p w:rsidR="003F3CA9" w:rsidRPr="003F3CA9" w:rsidRDefault="003F3CA9" w:rsidP="003F3CA9">
            <w:pPr>
              <w:rPr>
                <w:sz w:val="22"/>
                <w:szCs w:val="22"/>
              </w:rPr>
            </w:pPr>
            <w:r w:rsidRPr="003F3CA9">
              <w:rPr>
                <w:sz w:val="22"/>
                <w:szCs w:val="22"/>
              </w:rPr>
              <w:t>Employee related costs</w:t>
            </w:r>
          </w:p>
        </w:tc>
        <w:tc>
          <w:tcPr>
            <w:tcW w:w="1096" w:type="dxa"/>
            <w:tcBorders>
              <w:top w:val="nil"/>
              <w:left w:val="nil"/>
              <w:bottom w:val="nil"/>
              <w:right w:val="nil"/>
            </w:tcBorders>
            <w:shd w:val="clear" w:color="auto" w:fill="auto"/>
            <w:noWrap/>
          </w:tcPr>
          <w:p w:rsidR="003F3CA9" w:rsidRPr="003F3CA9" w:rsidRDefault="003F3CA9" w:rsidP="003F3CA9">
            <w:pPr>
              <w:jc w:val="right"/>
              <w:rPr>
                <w:sz w:val="22"/>
                <w:szCs w:val="22"/>
              </w:rPr>
            </w:pPr>
            <w:r w:rsidRPr="003F3CA9">
              <w:rPr>
                <w:sz w:val="22"/>
                <w:szCs w:val="22"/>
              </w:rPr>
              <w:t>65.0%</w:t>
            </w:r>
          </w:p>
        </w:tc>
        <w:tc>
          <w:tcPr>
            <w:tcW w:w="2180" w:type="dxa"/>
            <w:tcBorders>
              <w:top w:val="nil"/>
              <w:left w:val="nil"/>
              <w:bottom w:val="nil"/>
              <w:right w:val="single" w:sz="4" w:space="0" w:color="auto"/>
            </w:tcBorders>
            <w:shd w:val="clear" w:color="auto" w:fill="auto"/>
            <w:noWrap/>
          </w:tcPr>
          <w:p w:rsidR="003F3CA9" w:rsidRPr="003F3CA9" w:rsidRDefault="003F3CA9" w:rsidP="003F3CA9">
            <w:pPr>
              <w:jc w:val="right"/>
              <w:rPr>
                <w:sz w:val="22"/>
                <w:szCs w:val="22"/>
              </w:rPr>
            </w:pPr>
            <w:r w:rsidRPr="003F3CA9">
              <w:rPr>
                <w:sz w:val="22"/>
                <w:szCs w:val="22"/>
              </w:rPr>
              <w:t xml:space="preserve"> 253,277,385 </w:t>
            </w:r>
          </w:p>
        </w:tc>
      </w:tr>
      <w:tr w:rsidR="003F3CA9" w:rsidRPr="003F3CA9" w:rsidTr="003F3CA9">
        <w:trPr>
          <w:trHeight w:val="315"/>
        </w:trPr>
        <w:tc>
          <w:tcPr>
            <w:tcW w:w="5889" w:type="dxa"/>
            <w:tcBorders>
              <w:top w:val="nil"/>
              <w:left w:val="single" w:sz="4" w:space="0" w:color="auto"/>
              <w:bottom w:val="nil"/>
              <w:right w:val="single" w:sz="8" w:space="0" w:color="000000"/>
            </w:tcBorders>
            <w:shd w:val="clear" w:color="auto" w:fill="auto"/>
            <w:noWrap/>
          </w:tcPr>
          <w:p w:rsidR="003F3CA9" w:rsidRPr="003F3CA9" w:rsidRDefault="003F3CA9" w:rsidP="003F3CA9">
            <w:pPr>
              <w:rPr>
                <w:sz w:val="22"/>
                <w:szCs w:val="22"/>
              </w:rPr>
            </w:pPr>
            <w:r w:rsidRPr="003F3CA9">
              <w:rPr>
                <w:sz w:val="22"/>
                <w:szCs w:val="22"/>
              </w:rPr>
              <w:t>Remuneration of councillors</w:t>
            </w:r>
          </w:p>
        </w:tc>
        <w:tc>
          <w:tcPr>
            <w:tcW w:w="1096" w:type="dxa"/>
            <w:tcBorders>
              <w:top w:val="nil"/>
              <w:left w:val="nil"/>
              <w:bottom w:val="nil"/>
              <w:right w:val="nil"/>
            </w:tcBorders>
            <w:shd w:val="clear" w:color="auto" w:fill="auto"/>
            <w:noWrap/>
          </w:tcPr>
          <w:p w:rsidR="003F3CA9" w:rsidRPr="003F3CA9" w:rsidRDefault="006E154F" w:rsidP="003F3CA9">
            <w:pPr>
              <w:jc w:val="right"/>
              <w:rPr>
                <w:sz w:val="22"/>
                <w:szCs w:val="22"/>
              </w:rPr>
            </w:pPr>
            <w:r>
              <w:rPr>
                <w:sz w:val="22"/>
                <w:szCs w:val="22"/>
              </w:rPr>
              <w:t>3.2</w:t>
            </w:r>
            <w:r w:rsidR="003F3CA9" w:rsidRPr="003F3CA9">
              <w:rPr>
                <w:sz w:val="22"/>
                <w:szCs w:val="22"/>
              </w:rPr>
              <w:t>%</w:t>
            </w:r>
          </w:p>
        </w:tc>
        <w:tc>
          <w:tcPr>
            <w:tcW w:w="2180" w:type="dxa"/>
            <w:tcBorders>
              <w:top w:val="nil"/>
              <w:left w:val="nil"/>
              <w:bottom w:val="nil"/>
              <w:right w:val="single" w:sz="4" w:space="0" w:color="auto"/>
            </w:tcBorders>
            <w:shd w:val="clear" w:color="auto" w:fill="auto"/>
            <w:noWrap/>
          </w:tcPr>
          <w:p w:rsidR="003F3CA9" w:rsidRPr="003F3CA9" w:rsidRDefault="003F3CA9" w:rsidP="003F3CA9">
            <w:pPr>
              <w:jc w:val="right"/>
              <w:rPr>
                <w:sz w:val="22"/>
                <w:szCs w:val="22"/>
              </w:rPr>
            </w:pPr>
            <w:r w:rsidRPr="003F3CA9">
              <w:rPr>
                <w:sz w:val="22"/>
                <w:szCs w:val="22"/>
              </w:rPr>
              <w:t xml:space="preserve"> 12,668,328 </w:t>
            </w:r>
          </w:p>
        </w:tc>
      </w:tr>
      <w:tr w:rsidR="003F3CA9" w:rsidRPr="003F3CA9" w:rsidTr="003F3CA9">
        <w:trPr>
          <w:trHeight w:val="315"/>
        </w:trPr>
        <w:tc>
          <w:tcPr>
            <w:tcW w:w="5889" w:type="dxa"/>
            <w:tcBorders>
              <w:top w:val="nil"/>
              <w:left w:val="single" w:sz="4" w:space="0" w:color="auto"/>
              <w:bottom w:val="nil"/>
              <w:right w:val="single" w:sz="8" w:space="0" w:color="000000"/>
            </w:tcBorders>
            <w:shd w:val="clear" w:color="auto" w:fill="auto"/>
            <w:noWrap/>
          </w:tcPr>
          <w:p w:rsidR="003F3CA9" w:rsidRPr="003F3CA9" w:rsidRDefault="003F3CA9" w:rsidP="003F3CA9">
            <w:pPr>
              <w:rPr>
                <w:sz w:val="22"/>
                <w:szCs w:val="22"/>
              </w:rPr>
            </w:pPr>
            <w:r w:rsidRPr="003F3CA9">
              <w:rPr>
                <w:sz w:val="22"/>
                <w:szCs w:val="22"/>
              </w:rPr>
              <w:t>Depreciation &amp; asset impairment</w:t>
            </w:r>
          </w:p>
        </w:tc>
        <w:tc>
          <w:tcPr>
            <w:tcW w:w="1096" w:type="dxa"/>
            <w:tcBorders>
              <w:top w:val="nil"/>
              <w:left w:val="nil"/>
              <w:bottom w:val="nil"/>
              <w:right w:val="nil"/>
            </w:tcBorders>
            <w:shd w:val="clear" w:color="auto" w:fill="auto"/>
            <w:noWrap/>
          </w:tcPr>
          <w:p w:rsidR="003F3CA9" w:rsidRPr="003F3CA9" w:rsidRDefault="006E154F" w:rsidP="003F3CA9">
            <w:pPr>
              <w:jc w:val="right"/>
              <w:rPr>
                <w:sz w:val="22"/>
                <w:szCs w:val="22"/>
              </w:rPr>
            </w:pPr>
            <w:r>
              <w:rPr>
                <w:sz w:val="22"/>
                <w:szCs w:val="22"/>
              </w:rPr>
              <w:t>4.3%</w:t>
            </w:r>
          </w:p>
        </w:tc>
        <w:tc>
          <w:tcPr>
            <w:tcW w:w="2180" w:type="dxa"/>
            <w:tcBorders>
              <w:top w:val="nil"/>
              <w:left w:val="nil"/>
              <w:bottom w:val="nil"/>
              <w:right w:val="single" w:sz="4" w:space="0" w:color="auto"/>
            </w:tcBorders>
            <w:shd w:val="clear" w:color="auto" w:fill="auto"/>
            <w:noWrap/>
          </w:tcPr>
          <w:p w:rsidR="003F3CA9" w:rsidRPr="003F3CA9" w:rsidRDefault="003F3CA9" w:rsidP="003F3CA9">
            <w:pPr>
              <w:jc w:val="right"/>
              <w:rPr>
                <w:sz w:val="22"/>
                <w:szCs w:val="22"/>
              </w:rPr>
            </w:pPr>
            <w:r w:rsidRPr="003F3CA9">
              <w:rPr>
                <w:sz w:val="22"/>
                <w:szCs w:val="22"/>
              </w:rPr>
              <w:t xml:space="preserve"> 16,896,075</w:t>
            </w:r>
          </w:p>
        </w:tc>
      </w:tr>
      <w:tr w:rsidR="003F3CA9" w:rsidRPr="003F3CA9" w:rsidTr="003F3CA9">
        <w:trPr>
          <w:trHeight w:val="315"/>
        </w:trPr>
        <w:tc>
          <w:tcPr>
            <w:tcW w:w="5889" w:type="dxa"/>
            <w:tcBorders>
              <w:top w:val="nil"/>
              <w:left w:val="single" w:sz="4" w:space="0" w:color="auto"/>
              <w:bottom w:val="nil"/>
              <w:right w:val="single" w:sz="8" w:space="0" w:color="000000"/>
            </w:tcBorders>
            <w:shd w:val="clear" w:color="auto" w:fill="auto"/>
            <w:noWrap/>
          </w:tcPr>
          <w:p w:rsidR="003F3CA9" w:rsidRPr="003F3CA9" w:rsidRDefault="003F3CA9" w:rsidP="003F3CA9">
            <w:pPr>
              <w:rPr>
                <w:sz w:val="22"/>
                <w:szCs w:val="22"/>
              </w:rPr>
            </w:pPr>
            <w:r w:rsidRPr="003F3CA9">
              <w:rPr>
                <w:sz w:val="22"/>
                <w:szCs w:val="22"/>
              </w:rPr>
              <w:t>Contracted services</w:t>
            </w:r>
          </w:p>
        </w:tc>
        <w:tc>
          <w:tcPr>
            <w:tcW w:w="1096" w:type="dxa"/>
            <w:tcBorders>
              <w:top w:val="nil"/>
              <w:left w:val="nil"/>
              <w:bottom w:val="nil"/>
              <w:right w:val="nil"/>
            </w:tcBorders>
            <w:shd w:val="clear" w:color="auto" w:fill="auto"/>
            <w:noWrap/>
          </w:tcPr>
          <w:p w:rsidR="003F3CA9" w:rsidRPr="003F3CA9" w:rsidRDefault="006E154F" w:rsidP="003F3CA9">
            <w:pPr>
              <w:jc w:val="right"/>
              <w:rPr>
                <w:sz w:val="22"/>
                <w:szCs w:val="22"/>
              </w:rPr>
            </w:pPr>
            <w:r>
              <w:rPr>
                <w:sz w:val="22"/>
                <w:szCs w:val="22"/>
              </w:rPr>
              <w:t>9.3</w:t>
            </w:r>
            <w:r w:rsidR="003F3CA9" w:rsidRPr="003F3CA9">
              <w:rPr>
                <w:sz w:val="22"/>
                <w:szCs w:val="22"/>
              </w:rPr>
              <w:t>%</w:t>
            </w:r>
          </w:p>
        </w:tc>
        <w:tc>
          <w:tcPr>
            <w:tcW w:w="2180" w:type="dxa"/>
            <w:tcBorders>
              <w:top w:val="nil"/>
              <w:left w:val="nil"/>
              <w:bottom w:val="nil"/>
              <w:right w:val="single" w:sz="4" w:space="0" w:color="auto"/>
            </w:tcBorders>
            <w:shd w:val="clear" w:color="auto" w:fill="auto"/>
            <w:noWrap/>
          </w:tcPr>
          <w:p w:rsidR="003F3CA9" w:rsidRPr="003F3CA9" w:rsidRDefault="003F3CA9" w:rsidP="00C25E16">
            <w:pPr>
              <w:jc w:val="right"/>
              <w:rPr>
                <w:sz w:val="22"/>
                <w:szCs w:val="22"/>
              </w:rPr>
            </w:pPr>
            <w:r w:rsidRPr="003F3CA9">
              <w:rPr>
                <w:sz w:val="22"/>
                <w:szCs w:val="22"/>
              </w:rPr>
              <w:t xml:space="preserve"> 3</w:t>
            </w:r>
            <w:r w:rsidR="00C25E16">
              <w:rPr>
                <w:sz w:val="22"/>
                <w:szCs w:val="22"/>
              </w:rPr>
              <w:t>2</w:t>
            </w:r>
            <w:r w:rsidRPr="003F3CA9">
              <w:rPr>
                <w:sz w:val="22"/>
                <w:szCs w:val="22"/>
              </w:rPr>
              <w:t>,</w:t>
            </w:r>
            <w:r w:rsidR="00C25E16">
              <w:rPr>
                <w:sz w:val="22"/>
                <w:szCs w:val="22"/>
              </w:rPr>
              <w:t>7</w:t>
            </w:r>
            <w:r w:rsidRPr="003F3CA9">
              <w:rPr>
                <w:sz w:val="22"/>
                <w:szCs w:val="22"/>
              </w:rPr>
              <w:t>4</w:t>
            </w:r>
            <w:r w:rsidR="00C25E16">
              <w:rPr>
                <w:sz w:val="22"/>
                <w:szCs w:val="22"/>
              </w:rPr>
              <w:t>3</w:t>
            </w:r>
            <w:r w:rsidRPr="003F3CA9">
              <w:rPr>
                <w:sz w:val="22"/>
                <w:szCs w:val="22"/>
              </w:rPr>
              <w:t>,</w:t>
            </w:r>
            <w:r w:rsidR="00C25E16">
              <w:rPr>
                <w:sz w:val="22"/>
                <w:szCs w:val="22"/>
              </w:rPr>
              <w:t>13</w:t>
            </w:r>
            <w:r w:rsidRPr="003F3CA9">
              <w:rPr>
                <w:sz w:val="22"/>
                <w:szCs w:val="22"/>
              </w:rPr>
              <w:t xml:space="preserve">8 </w:t>
            </w:r>
          </w:p>
        </w:tc>
      </w:tr>
      <w:tr w:rsidR="003F3CA9" w:rsidRPr="003F3CA9" w:rsidTr="003F3CA9">
        <w:trPr>
          <w:trHeight w:val="315"/>
        </w:trPr>
        <w:tc>
          <w:tcPr>
            <w:tcW w:w="5889" w:type="dxa"/>
            <w:tcBorders>
              <w:top w:val="nil"/>
              <w:left w:val="single" w:sz="4" w:space="0" w:color="auto"/>
              <w:bottom w:val="nil"/>
              <w:right w:val="single" w:sz="8" w:space="0" w:color="000000"/>
            </w:tcBorders>
            <w:shd w:val="clear" w:color="auto" w:fill="auto"/>
            <w:noWrap/>
          </w:tcPr>
          <w:p w:rsidR="003F3CA9" w:rsidRPr="003F3CA9" w:rsidRDefault="003F3CA9" w:rsidP="003F3CA9">
            <w:pPr>
              <w:rPr>
                <w:sz w:val="22"/>
                <w:szCs w:val="22"/>
              </w:rPr>
            </w:pPr>
            <w:r w:rsidRPr="003F3CA9">
              <w:rPr>
                <w:sz w:val="22"/>
                <w:szCs w:val="22"/>
              </w:rPr>
              <w:t>Transfers and grants</w:t>
            </w:r>
          </w:p>
        </w:tc>
        <w:tc>
          <w:tcPr>
            <w:tcW w:w="1096" w:type="dxa"/>
            <w:tcBorders>
              <w:top w:val="nil"/>
              <w:left w:val="nil"/>
              <w:bottom w:val="nil"/>
              <w:right w:val="nil"/>
            </w:tcBorders>
            <w:shd w:val="clear" w:color="auto" w:fill="auto"/>
            <w:noWrap/>
          </w:tcPr>
          <w:p w:rsidR="003F3CA9" w:rsidRPr="003F3CA9" w:rsidRDefault="003F3CA9" w:rsidP="003F3CA9">
            <w:pPr>
              <w:jc w:val="right"/>
              <w:rPr>
                <w:sz w:val="22"/>
                <w:szCs w:val="22"/>
              </w:rPr>
            </w:pPr>
            <w:r w:rsidRPr="003F3CA9">
              <w:rPr>
                <w:sz w:val="22"/>
                <w:szCs w:val="22"/>
              </w:rPr>
              <w:t>0.0%</w:t>
            </w:r>
          </w:p>
        </w:tc>
        <w:tc>
          <w:tcPr>
            <w:tcW w:w="2180" w:type="dxa"/>
            <w:tcBorders>
              <w:top w:val="nil"/>
              <w:left w:val="nil"/>
              <w:bottom w:val="nil"/>
              <w:right w:val="single" w:sz="4" w:space="0" w:color="auto"/>
            </w:tcBorders>
            <w:shd w:val="clear" w:color="auto" w:fill="auto"/>
            <w:noWrap/>
          </w:tcPr>
          <w:p w:rsidR="003F3CA9" w:rsidRPr="003F3CA9" w:rsidRDefault="003F3CA9" w:rsidP="003F3CA9">
            <w:pPr>
              <w:jc w:val="right"/>
              <w:rPr>
                <w:sz w:val="22"/>
                <w:szCs w:val="22"/>
              </w:rPr>
            </w:pPr>
            <w:r w:rsidRPr="003F3CA9">
              <w:rPr>
                <w:sz w:val="22"/>
                <w:szCs w:val="22"/>
              </w:rPr>
              <w:t xml:space="preserve"> -   </w:t>
            </w:r>
          </w:p>
        </w:tc>
      </w:tr>
      <w:tr w:rsidR="003F3CA9" w:rsidRPr="003F3CA9" w:rsidTr="003F3CA9">
        <w:trPr>
          <w:trHeight w:val="315"/>
        </w:trPr>
        <w:tc>
          <w:tcPr>
            <w:tcW w:w="5889" w:type="dxa"/>
            <w:tcBorders>
              <w:top w:val="nil"/>
              <w:left w:val="single" w:sz="4" w:space="0" w:color="auto"/>
              <w:bottom w:val="nil"/>
              <w:right w:val="single" w:sz="8" w:space="0" w:color="000000"/>
            </w:tcBorders>
            <w:shd w:val="clear" w:color="auto" w:fill="auto"/>
            <w:noWrap/>
          </w:tcPr>
          <w:p w:rsidR="003F3CA9" w:rsidRPr="003F3CA9" w:rsidRDefault="003F3CA9" w:rsidP="003F3CA9">
            <w:pPr>
              <w:rPr>
                <w:sz w:val="22"/>
                <w:szCs w:val="22"/>
              </w:rPr>
            </w:pPr>
            <w:r w:rsidRPr="003F3CA9">
              <w:rPr>
                <w:sz w:val="22"/>
                <w:szCs w:val="22"/>
              </w:rPr>
              <w:t>Other expenditure</w:t>
            </w:r>
          </w:p>
        </w:tc>
        <w:tc>
          <w:tcPr>
            <w:tcW w:w="1096" w:type="dxa"/>
            <w:tcBorders>
              <w:top w:val="nil"/>
              <w:left w:val="nil"/>
              <w:bottom w:val="nil"/>
              <w:right w:val="nil"/>
            </w:tcBorders>
            <w:shd w:val="clear" w:color="auto" w:fill="auto"/>
            <w:noWrap/>
          </w:tcPr>
          <w:p w:rsidR="003F3CA9" w:rsidRPr="003F3CA9" w:rsidRDefault="006E154F" w:rsidP="003F3CA9">
            <w:pPr>
              <w:jc w:val="right"/>
              <w:rPr>
                <w:sz w:val="22"/>
                <w:szCs w:val="22"/>
              </w:rPr>
            </w:pPr>
            <w:r>
              <w:rPr>
                <w:sz w:val="22"/>
                <w:szCs w:val="22"/>
              </w:rPr>
              <w:t>18.2</w:t>
            </w:r>
            <w:r w:rsidR="003F3CA9" w:rsidRPr="003F3CA9">
              <w:rPr>
                <w:sz w:val="22"/>
                <w:szCs w:val="22"/>
              </w:rPr>
              <w:t>%</w:t>
            </w:r>
          </w:p>
        </w:tc>
        <w:tc>
          <w:tcPr>
            <w:tcW w:w="2180" w:type="dxa"/>
            <w:tcBorders>
              <w:top w:val="nil"/>
              <w:left w:val="nil"/>
              <w:bottom w:val="nil"/>
              <w:right w:val="single" w:sz="4" w:space="0" w:color="auto"/>
            </w:tcBorders>
            <w:shd w:val="clear" w:color="auto" w:fill="auto"/>
            <w:noWrap/>
          </w:tcPr>
          <w:p w:rsidR="003F3CA9" w:rsidRPr="003F3CA9" w:rsidRDefault="003F3CA9" w:rsidP="00C25E16">
            <w:pPr>
              <w:jc w:val="right"/>
              <w:rPr>
                <w:sz w:val="22"/>
                <w:szCs w:val="22"/>
              </w:rPr>
            </w:pPr>
            <w:r w:rsidRPr="003F3CA9">
              <w:rPr>
                <w:sz w:val="22"/>
                <w:szCs w:val="22"/>
              </w:rPr>
              <w:t xml:space="preserve"> 70,</w:t>
            </w:r>
            <w:r w:rsidR="00C25E16">
              <w:rPr>
                <w:sz w:val="22"/>
                <w:szCs w:val="22"/>
              </w:rPr>
              <w:t>307</w:t>
            </w:r>
            <w:r w:rsidRPr="003F3CA9">
              <w:rPr>
                <w:sz w:val="22"/>
                <w:szCs w:val="22"/>
              </w:rPr>
              <w:t>,</w:t>
            </w:r>
            <w:r w:rsidR="00C25E16">
              <w:rPr>
                <w:sz w:val="22"/>
                <w:szCs w:val="22"/>
              </w:rPr>
              <w:t>952</w:t>
            </w:r>
            <w:r w:rsidRPr="003F3CA9">
              <w:rPr>
                <w:sz w:val="22"/>
                <w:szCs w:val="22"/>
              </w:rPr>
              <w:t xml:space="preserve"> </w:t>
            </w:r>
          </w:p>
        </w:tc>
      </w:tr>
      <w:tr w:rsidR="0010763E" w:rsidRPr="003F3CA9" w:rsidTr="003F3CA9">
        <w:trPr>
          <w:trHeight w:val="330"/>
        </w:trPr>
        <w:tc>
          <w:tcPr>
            <w:tcW w:w="5889" w:type="dxa"/>
            <w:tcBorders>
              <w:top w:val="nil"/>
              <w:left w:val="single" w:sz="4" w:space="0" w:color="auto"/>
              <w:bottom w:val="single" w:sz="12" w:space="0" w:color="000000"/>
              <w:right w:val="single" w:sz="8" w:space="0" w:color="000000"/>
            </w:tcBorders>
            <w:shd w:val="clear" w:color="auto" w:fill="auto"/>
            <w:noWrap/>
            <w:vAlign w:val="center"/>
          </w:tcPr>
          <w:p w:rsidR="0010763E" w:rsidRPr="003F3CA9" w:rsidRDefault="0010763E" w:rsidP="002E1E90">
            <w:pPr>
              <w:rPr>
                <w:b/>
                <w:bCs/>
                <w:color w:val="000000"/>
                <w:sz w:val="22"/>
                <w:szCs w:val="22"/>
                <w:lang w:val="en-US"/>
              </w:rPr>
            </w:pPr>
            <w:r w:rsidRPr="003F3CA9">
              <w:rPr>
                <w:b/>
                <w:bCs/>
                <w:color w:val="000000"/>
                <w:sz w:val="22"/>
                <w:szCs w:val="22"/>
                <w:lang w:val="en-US"/>
              </w:rPr>
              <w:t>Total Operating Expenditure</w:t>
            </w:r>
          </w:p>
        </w:tc>
        <w:tc>
          <w:tcPr>
            <w:tcW w:w="1096" w:type="dxa"/>
            <w:tcBorders>
              <w:top w:val="nil"/>
              <w:left w:val="nil"/>
              <w:bottom w:val="single" w:sz="12" w:space="0" w:color="000000"/>
              <w:right w:val="nil"/>
            </w:tcBorders>
            <w:shd w:val="clear" w:color="auto" w:fill="auto"/>
            <w:noWrap/>
            <w:vAlign w:val="center"/>
          </w:tcPr>
          <w:p w:rsidR="0010763E" w:rsidRPr="003F3CA9" w:rsidRDefault="0010763E" w:rsidP="002E1E90">
            <w:pPr>
              <w:jc w:val="right"/>
              <w:rPr>
                <w:b/>
                <w:bCs/>
                <w:color w:val="FF0000"/>
                <w:sz w:val="22"/>
                <w:szCs w:val="22"/>
                <w:lang w:val="en-US"/>
              </w:rPr>
            </w:pPr>
            <w:r w:rsidRPr="003F3CA9">
              <w:rPr>
                <w:b/>
                <w:bCs/>
                <w:color w:val="FF0000"/>
                <w:sz w:val="22"/>
                <w:szCs w:val="22"/>
                <w:lang w:val="en-US"/>
              </w:rPr>
              <w:t> </w:t>
            </w:r>
          </w:p>
        </w:tc>
        <w:tc>
          <w:tcPr>
            <w:tcW w:w="2180" w:type="dxa"/>
            <w:tcBorders>
              <w:top w:val="nil"/>
              <w:left w:val="nil"/>
              <w:bottom w:val="single" w:sz="12" w:space="0" w:color="000000"/>
              <w:right w:val="single" w:sz="4" w:space="0" w:color="auto"/>
            </w:tcBorders>
            <w:shd w:val="clear" w:color="auto" w:fill="auto"/>
            <w:noWrap/>
            <w:vAlign w:val="center"/>
          </w:tcPr>
          <w:p w:rsidR="0010763E" w:rsidRPr="003F3CA9" w:rsidRDefault="007E29AB" w:rsidP="00C25E16">
            <w:pPr>
              <w:jc w:val="right"/>
              <w:rPr>
                <w:b/>
                <w:bCs/>
                <w:sz w:val="22"/>
                <w:szCs w:val="22"/>
                <w:lang w:val="en-US"/>
              </w:rPr>
            </w:pPr>
            <w:r w:rsidRPr="003F3CA9">
              <w:rPr>
                <w:b/>
                <w:bCs/>
                <w:sz w:val="22"/>
                <w:szCs w:val="22"/>
                <w:lang w:val="en-US"/>
              </w:rPr>
              <w:t>38</w:t>
            </w:r>
            <w:r w:rsidR="00C25E16">
              <w:rPr>
                <w:b/>
                <w:bCs/>
                <w:sz w:val="22"/>
                <w:szCs w:val="22"/>
                <w:lang w:val="en-US"/>
              </w:rPr>
              <w:t>5</w:t>
            </w:r>
            <w:r w:rsidRPr="003F3CA9">
              <w:rPr>
                <w:b/>
                <w:bCs/>
                <w:sz w:val="22"/>
                <w:szCs w:val="22"/>
                <w:lang w:val="en-US"/>
              </w:rPr>
              <w:t>,</w:t>
            </w:r>
            <w:r w:rsidR="00C25E16">
              <w:rPr>
                <w:b/>
                <w:bCs/>
                <w:sz w:val="22"/>
                <w:szCs w:val="22"/>
                <w:lang w:val="en-US"/>
              </w:rPr>
              <w:t>8</w:t>
            </w:r>
            <w:r w:rsidR="003F3CA9">
              <w:rPr>
                <w:b/>
                <w:bCs/>
                <w:sz w:val="22"/>
                <w:szCs w:val="22"/>
                <w:lang w:val="en-US"/>
              </w:rPr>
              <w:t>9</w:t>
            </w:r>
            <w:r w:rsidR="00C25E16">
              <w:rPr>
                <w:b/>
                <w:bCs/>
                <w:sz w:val="22"/>
                <w:szCs w:val="22"/>
                <w:lang w:val="en-US"/>
              </w:rPr>
              <w:t>2</w:t>
            </w:r>
            <w:r w:rsidRPr="003F3CA9">
              <w:rPr>
                <w:b/>
                <w:bCs/>
                <w:sz w:val="22"/>
                <w:szCs w:val="22"/>
                <w:lang w:val="en-US"/>
              </w:rPr>
              <w:t>,</w:t>
            </w:r>
            <w:r w:rsidR="00C25E16">
              <w:rPr>
                <w:b/>
                <w:bCs/>
                <w:sz w:val="22"/>
                <w:szCs w:val="22"/>
                <w:lang w:val="en-US"/>
              </w:rPr>
              <w:t>878</w:t>
            </w:r>
          </w:p>
        </w:tc>
      </w:tr>
      <w:tr w:rsidR="0010763E" w:rsidRPr="003F3CA9" w:rsidTr="003F3CA9">
        <w:trPr>
          <w:trHeight w:val="345"/>
        </w:trPr>
        <w:tc>
          <w:tcPr>
            <w:tcW w:w="5889" w:type="dxa"/>
            <w:tcBorders>
              <w:top w:val="single" w:sz="12" w:space="0" w:color="000000"/>
              <w:left w:val="single" w:sz="4" w:space="0" w:color="auto"/>
              <w:bottom w:val="single" w:sz="4" w:space="0" w:color="auto"/>
              <w:right w:val="single" w:sz="8" w:space="0" w:color="000000"/>
            </w:tcBorders>
            <w:shd w:val="clear" w:color="auto" w:fill="auto"/>
            <w:noWrap/>
            <w:vAlign w:val="center"/>
          </w:tcPr>
          <w:p w:rsidR="0010763E" w:rsidRPr="003F3CA9" w:rsidRDefault="0010763E" w:rsidP="002E1E90">
            <w:pPr>
              <w:rPr>
                <w:b/>
                <w:bCs/>
                <w:color w:val="000000"/>
                <w:sz w:val="22"/>
                <w:szCs w:val="22"/>
                <w:lang w:val="en-US"/>
              </w:rPr>
            </w:pPr>
            <w:r w:rsidRPr="003F3CA9">
              <w:rPr>
                <w:b/>
                <w:bCs/>
                <w:color w:val="000000"/>
                <w:sz w:val="22"/>
                <w:szCs w:val="22"/>
                <w:lang w:val="en-US"/>
              </w:rPr>
              <w:t>Operating Surplus / (Deficit) A - B</w:t>
            </w:r>
          </w:p>
        </w:tc>
        <w:tc>
          <w:tcPr>
            <w:tcW w:w="1096" w:type="dxa"/>
            <w:tcBorders>
              <w:top w:val="single" w:sz="12" w:space="0" w:color="000000"/>
              <w:left w:val="nil"/>
              <w:bottom w:val="single" w:sz="4" w:space="0" w:color="auto"/>
              <w:right w:val="nil"/>
            </w:tcBorders>
            <w:shd w:val="clear" w:color="auto" w:fill="auto"/>
            <w:noWrap/>
            <w:vAlign w:val="center"/>
          </w:tcPr>
          <w:p w:rsidR="0010763E" w:rsidRPr="003F3CA9" w:rsidRDefault="00F41B50" w:rsidP="003F3CA9">
            <w:pPr>
              <w:jc w:val="right"/>
              <w:rPr>
                <w:b/>
                <w:bCs/>
                <w:sz w:val="22"/>
                <w:szCs w:val="22"/>
                <w:lang w:val="en-US"/>
              </w:rPr>
            </w:pPr>
            <w:r w:rsidRPr="003F3CA9">
              <w:rPr>
                <w:b/>
                <w:bCs/>
                <w:sz w:val="22"/>
                <w:szCs w:val="22"/>
                <w:lang w:val="en-US"/>
              </w:rPr>
              <w:t>6.</w:t>
            </w:r>
            <w:r w:rsidR="003F3CA9">
              <w:rPr>
                <w:b/>
                <w:bCs/>
                <w:sz w:val="22"/>
                <w:szCs w:val="22"/>
                <w:lang w:val="en-US"/>
              </w:rPr>
              <w:t>5</w:t>
            </w:r>
            <w:r w:rsidRPr="003F3CA9">
              <w:rPr>
                <w:b/>
                <w:bCs/>
                <w:sz w:val="22"/>
                <w:szCs w:val="22"/>
                <w:lang w:val="en-US"/>
              </w:rPr>
              <w:t>%</w:t>
            </w:r>
            <w:r w:rsidR="0010763E" w:rsidRPr="003F3CA9">
              <w:rPr>
                <w:b/>
                <w:bCs/>
                <w:sz w:val="22"/>
                <w:szCs w:val="22"/>
                <w:lang w:val="en-US"/>
              </w:rPr>
              <w:t> </w:t>
            </w:r>
          </w:p>
        </w:tc>
        <w:tc>
          <w:tcPr>
            <w:tcW w:w="2180" w:type="dxa"/>
            <w:tcBorders>
              <w:top w:val="single" w:sz="12" w:space="0" w:color="000000"/>
              <w:left w:val="nil"/>
              <w:bottom w:val="single" w:sz="4" w:space="0" w:color="auto"/>
              <w:right w:val="single" w:sz="4" w:space="0" w:color="auto"/>
            </w:tcBorders>
            <w:shd w:val="clear" w:color="auto" w:fill="auto"/>
            <w:noWrap/>
            <w:vAlign w:val="center"/>
          </w:tcPr>
          <w:p w:rsidR="0010763E" w:rsidRPr="003F3CA9" w:rsidRDefault="00DF0034" w:rsidP="00BF18D5">
            <w:pPr>
              <w:jc w:val="right"/>
              <w:rPr>
                <w:b/>
                <w:bCs/>
                <w:sz w:val="22"/>
                <w:szCs w:val="22"/>
                <w:lang w:val="en-US"/>
              </w:rPr>
            </w:pPr>
            <w:r w:rsidRPr="003F3CA9">
              <w:rPr>
                <w:b/>
                <w:bCs/>
                <w:sz w:val="22"/>
                <w:szCs w:val="22"/>
                <w:lang w:val="en-US"/>
              </w:rPr>
              <w:t>2</w:t>
            </w:r>
            <w:r w:rsidR="00BF18D5">
              <w:rPr>
                <w:b/>
                <w:bCs/>
                <w:sz w:val="22"/>
                <w:szCs w:val="22"/>
                <w:lang w:val="en-US"/>
              </w:rPr>
              <w:t>1</w:t>
            </w:r>
            <w:r w:rsidRPr="003F3CA9">
              <w:rPr>
                <w:b/>
                <w:bCs/>
                <w:sz w:val="22"/>
                <w:szCs w:val="22"/>
                <w:lang w:val="en-US"/>
              </w:rPr>
              <w:t>,</w:t>
            </w:r>
            <w:r w:rsidR="00BF18D5">
              <w:rPr>
                <w:b/>
                <w:bCs/>
                <w:sz w:val="22"/>
                <w:szCs w:val="22"/>
                <w:lang w:val="en-US"/>
              </w:rPr>
              <w:t>256</w:t>
            </w:r>
            <w:r w:rsidRPr="003F3CA9">
              <w:rPr>
                <w:b/>
                <w:bCs/>
                <w:sz w:val="22"/>
                <w:szCs w:val="22"/>
                <w:lang w:val="en-US"/>
              </w:rPr>
              <w:t>,</w:t>
            </w:r>
            <w:r w:rsidR="00BF18D5">
              <w:rPr>
                <w:b/>
                <w:bCs/>
                <w:sz w:val="22"/>
                <w:szCs w:val="22"/>
                <w:lang w:val="en-US"/>
              </w:rPr>
              <w:t>125</w:t>
            </w:r>
          </w:p>
        </w:tc>
      </w:tr>
    </w:tbl>
    <w:p w:rsidR="0076601C" w:rsidRDefault="0076601C" w:rsidP="0076601C">
      <w:pPr>
        <w:ind w:left="1224"/>
        <w:jc w:val="both"/>
        <w:rPr>
          <w:u w:val="single"/>
        </w:rPr>
      </w:pPr>
    </w:p>
    <w:p w:rsidR="0010763E" w:rsidRPr="00713F73" w:rsidRDefault="00654E04" w:rsidP="005C3D2B">
      <w:pPr>
        <w:ind w:left="720"/>
        <w:jc w:val="both"/>
        <w:rPr>
          <w:u w:val="single"/>
        </w:rPr>
      </w:pPr>
      <w:r>
        <w:t>5</w:t>
      </w:r>
      <w:r w:rsidR="009234D7">
        <w:t>.</w:t>
      </w:r>
      <w:r>
        <w:tab/>
      </w:r>
      <w:r w:rsidR="0010763E" w:rsidRPr="002F0D74">
        <w:rPr>
          <w:u w:val="single"/>
        </w:rPr>
        <w:t>Employee and Councillor Related Costs</w:t>
      </w:r>
      <w:r w:rsidR="001425AD" w:rsidRPr="00713F73">
        <w:rPr>
          <w:u w:val="single"/>
        </w:rPr>
        <w:t>(</w:t>
      </w:r>
      <w:r w:rsidR="00820260">
        <w:rPr>
          <w:u w:val="single"/>
        </w:rPr>
        <w:t>68.2</w:t>
      </w:r>
      <w:r w:rsidR="001425AD" w:rsidRPr="00713F73">
        <w:rPr>
          <w:u w:val="single"/>
        </w:rPr>
        <w:t>%)</w:t>
      </w:r>
    </w:p>
    <w:p w:rsidR="0010763E" w:rsidRDefault="0010763E" w:rsidP="0097359B">
      <w:pPr>
        <w:ind w:left="720" w:hanging="720"/>
        <w:jc w:val="both"/>
      </w:pPr>
    </w:p>
    <w:p w:rsidR="009E266D" w:rsidRDefault="00BF1267" w:rsidP="009E266D">
      <w:pPr>
        <w:ind w:left="1418"/>
        <w:jc w:val="both"/>
      </w:pPr>
      <w:r>
        <w:tab/>
      </w:r>
      <w:r w:rsidR="009E266D" w:rsidRPr="005D2449">
        <w:t xml:space="preserve">Attention is drawn to the current trend of the steep growth in </w:t>
      </w:r>
      <w:r w:rsidR="009B5BB1">
        <w:tab/>
      </w:r>
      <w:r w:rsidR="009B5BB1">
        <w:tab/>
      </w:r>
      <w:r w:rsidR="009B5BB1">
        <w:tab/>
      </w:r>
      <w:r w:rsidR="009E266D" w:rsidRPr="005D2449">
        <w:t>employee-related expenditure for the total organisation</w:t>
      </w:r>
      <w:r w:rsidR="009E266D">
        <w:t>.</w:t>
      </w:r>
    </w:p>
    <w:p w:rsidR="009E266D" w:rsidRPr="005D2449" w:rsidRDefault="009E266D" w:rsidP="009E266D">
      <w:pPr>
        <w:ind w:left="1418"/>
        <w:jc w:val="both"/>
      </w:pPr>
    </w:p>
    <w:p w:rsidR="0010763E" w:rsidRDefault="004C686B" w:rsidP="00533A6E">
      <w:pPr>
        <w:ind w:left="1418"/>
        <w:jc w:val="both"/>
      </w:pPr>
      <w:r>
        <w:t xml:space="preserve">Salaries </w:t>
      </w:r>
      <w:r w:rsidR="00021B2D">
        <w:t xml:space="preserve">&amp; councillor allowances </w:t>
      </w:r>
      <w:r>
        <w:t xml:space="preserve">are projected at </w:t>
      </w:r>
      <w:r w:rsidRPr="00713F73">
        <w:t>R</w:t>
      </w:r>
      <w:r w:rsidR="00770422" w:rsidRPr="00713F73">
        <w:t>26</w:t>
      </w:r>
      <w:r w:rsidR="00021B2D">
        <w:t>5</w:t>
      </w:r>
      <w:r w:rsidR="0010763E" w:rsidRPr="00713F73">
        <w:t>million</w:t>
      </w:r>
      <w:r w:rsidR="0010763E">
        <w:t xml:space="preserve">for the </w:t>
      </w:r>
      <w:r w:rsidR="00186DC1">
        <w:t>201</w:t>
      </w:r>
      <w:r w:rsidR="00770422">
        <w:t>7</w:t>
      </w:r>
      <w:r w:rsidR="00186DC1">
        <w:t>/201</w:t>
      </w:r>
      <w:r w:rsidR="00770422">
        <w:t>8</w:t>
      </w:r>
      <w:r w:rsidR="0010763E">
        <w:t xml:space="preserve"> financial year. </w:t>
      </w:r>
      <w:r w:rsidR="00211755">
        <w:t xml:space="preserve">There is </w:t>
      </w:r>
      <w:r w:rsidR="00770422">
        <w:t>a three-year</w:t>
      </w:r>
      <w:r w:rsidR="009C7059">
        <w:t xml:space="preserve"> collective</w:t>
      </w:r>
      <w:r w:rsidR="0010763E">
        <w:t xml:space="preserve">labour salary agreement (SALGA &amp; SALGBC) </w:t>
      </w:r>
      <w:r w:rsidR="00211755">
        <w:t>currently in place</w:t>
      </w:r>
      <w:r w:rsidR="008F17DB">
        <w:t xml:space="preserve"> and according to circular </w:t>
      </w:r>
      <w:r w:rsidR="00770422">
        <w:t>86</w:t>
      </w:r>
      <w:r w:rsidR="008F17DB">
        <w:t xml:space="preserve"> the </w:t>
      </w:r>
      <w:r w:rsidR="0010763E">
        <w:t xml:space="preserve">estimated increase </w:t>
      </w:r>
      <w:r w:rsidR="00770422">
        <w:t xml:space="preserve">for salaries &amp; wages </w:t>
      </w:r>
      <w:r w:rsidR="008F17DB">
        <w:t>is</w:t>
      </w:r>
      <w:r w:rsidR="005C3D2B">
        <w:t xml:space="preserve"> </w:t>
      </w:r>
      <w:r w:rsidR="00770422">
        <w:t xml:space="preserve">CPI + 1% = 6,4% + 1% = </w:t>
      </w:r>
      <w:r w:rsidR="00CC0730">
        <w:t>7,4%</w:t>
      </w:r>
      <w:r w:rsidR="0010763E">
        <w:t xml:space="preserve">. </w:t>
      </w:r>
      <w:r w:rsidR="00CC0730">
        <w:t>Limited</w:t>
      </w:r>
      <w:r w:rsidR="0010763E" w:rsidRPr="00B53937">
        <w:t xml:space="preserve"> provision for vacancies (new posts and attritions) was made for all Clusters as part of </w:t>
      </w:r>
      <w:r w:rsidR="00CC0730">
        <w:t>existing recruitment processes to fill critical key posts</w:t>
      </w:r>
      <w:r w:rsidR="0010763E" w:rsidRPr="00B53937">
        <w:t>.</w:t>
      </w:r>
      <w:r w:rsidR="00394152">
        <w:t xml:space="preserve"> Subsequent to the tabling of the draft MTREF 2017/2018, the Executive have taken a decision to place a moratorium on the filling of future </w:t>
      </w:r>
      <w:r w:rsidR="009E266D">
        <w:t>vacant posts in an effort to reduce the substantial salary bill.</w:t>
      </w:r>
    </w:p>
    <w:p w:rsidR="00CC5F89" w:rsidRDefault="00CC5F89" w:rsidP="00533A6E">
      <w:pPr>
        <w:ind w:left="1418"/>
        <w:jc w:val="both"/>
      </w:pPr>
    </w:p>
    <w:p w:rsidR="007D0E63" w:rsidRDefault="0010763E" w:rsidP="007D0E63">
      <w:pPr>
        <w:ind w:left="1418"/>
        <w:jc w:val="both"/>
      </w:pPr>
      <w:r>
        <w:t xml:space="preserve">Council must note that although employee related costs have grown by </w:t>
      </w:r>
      <w:r w:rsidR="00CC0730">
        <w:t>7,4</w:t>
      </w:r>
      <w:r>
        <w:t xml:space="preserve">%, the provisional equitable share allocation has only grown by </w:t>
      </w:r>
      <w:r w:rsidR="00CC0730" w:rsidRPr="00713F73">
        <w:t>1,</w:t>
      </w:r>
      <w:r w:rsidR="00713F73" w:rsidRPr="00713F73">
        <w:t>55</w:t>
      </w:r>
      <w:r w:rsidRPr="00713F73">
        <w:t>%</w:t>
      </w:r>
      <w:r>
        <w:t xml:space="preserve"> leaving Council to fund a deficit of </w:t>
      </w:r>
      <w:r w:rsidR="00CC0730">
        <w:t>6,1</w:t>
      </w:r>
      <w:r>
        <w:t>%. This deficit has had to be filled by reducing other operational expenditure, potentially reducing Council’s ability to render services but still able to fulfil our coordinating role based on our current human capital</w:t>
      </w:r>
      <w:r w:rsidR="009C7059">
        <w:t xml:space="preserve"> on powers and functions for the District</w:t>
      </w:r>
      <w:r>
        <w:t>.</w:t>
      </w:r>
    </w:p>
    <w:p w:rsidR="007D0E63" w:rsidRDefault="007D0E63" w:rsidP="007D0E63">
      <w:pPr>
        <w:ind w:left="1418"/>
        <w:jc w:val="both"/>
      </w:pPr>
    </w:p>
    <w:p w:rsidR="0010763E" w:rsidRPr="007D0E63" w:rsidRDefault="009E266D" w:rsidP="007D0E63">
      <w:pPr>
        <w:ind w:left="1418"/>
        <w:jc w:val="both"/>
      </w:pPr>
      <w:r>
        <w:t>During the GPT budget assessment engagement, COGTA was requested to</w:t>
      </w:r>
      <w:r w:rsidR="007D0E63">
        <w:t xml:space="preserve"> assist the municipality with an organisational design review in order to conduct a skills audit of the existing structure of the municipality and to determine the best value-for-money option for the existing employee related costs.</w:t>
      </w:r>
      <w:r>
        <w:rPr>
          <w:noProof/>
          <w:lang w:val="en-US"/>
        </w:rPr>
        <w:tab/>
      </w:r>
    </w:p>
    <w:p w:rsidR="00520E66" w:rsidRDefault="00520E66" w:rsidP="004B0EBB">
      <w:pPr>
        <w:jc w:val="both"/>
      </w:pPr>
    </w:p>
    <w:p w:rsidR="0010763E" w:rsidRPr="00713F73" w:rsidRDefault="002E4707" w:rsidP="00565E0E">
      <w:pPr>
        <w:ind w:left="720"/>
        <w:jc w:val="both"/>
        <w:rPr>
          <w:rFonts w:ascii="Arial" w:hAnsi="Arial" w:cs="Arial"/>
          <w:b/>
          <w:bCs/>
          <w:sz w:val="20"/>
          <w:szCs w:val="20"/>
          <w:u w:val="single"/>
        </w:rPr>
      </w:pPr>
      <w:r>
        <w:t>6</w:t>
      </w:r>
      <w:r w:rsidR="009234D7">
        <w:t>.</w:t>
      </w:r>
      <w:r>
        <w:t xml:space="preserve">   </w:t>
      </w:r>
      <w:r w:rsidR="009234D7">
        <w:tab/>
      </w:r>
      <w:r w:rsidR="0010763E" w:rsidRPr="00565E0E">
        <w:rPr>
          <w:u w:val="single"/>
        </w:rPr>
        <w:t>Depreciation</w:t>
      </w:r>
      <w:r w:rsidR="00565E0E" w:rsidRPr="00565E0E">
        <w:rPr>
          <w:u w:val="single"/>
        </w:rPr>
        <w:t xml:space="preserve"> </w:t>
      </w:r>
      <w:r w:rsidR="001425AD" w:rsidRPr="00565E0E">
        <w:rPr>
          <w:u w:val="single"/>
        </w:rPr>
        <w:t>(</w:t>
      </w:r>
      <w:r w:rsidR="00713F73" w:rsidRPr="00565E0E">
        <w:rPr>
          <w:u w:val="single"/>
        </w:rPr>
        <w:t>4.</w:t>
      </w:r>
      <w:r w:rsidR="00713F73" w:rsidRPr="00713F73">
        <w:rPr>
          <w:u w:val="single"/>
        </w:rPr>
        <w:t>33%</w:t>
      </w:r>
      <w:r w:rsidR="001425AD" w:rsidRPr="00713F73">
        <w:rPr>
          <w:u w:val="single"/>
        </w:rPr>
        <w:t>)</w:t>
      </w:r>
    </w:p>
    <w:p w:rsidR="0010763E" w:rsidRDefault="0010763E" w:rsidP="002803BB">
      <w:pPr>
        <w:jc w:val="both"/>
      </w:pPr>
    </w:p>
    <w:p w:rsidR="00333B74" w:rsidRDefault="0010763E" w:rsidP="00533A6E">
      <w:pPr>
        <w:ind w:left="1418"/>
        <w:jc w:val="both"/>
      </w:pPr>
      <w:r>
        <w:t xml:space="preserve">In accordance with the GRAP </w:t>
      </w:r>
      <w:r w:rsidR="00EB559C" w:rsidRPr="00EB559C">
        <w:t xml:space="preserve">principles </w:t>
      </w:r>
      <w:r w:rsidR="00EB559C">
        <w:t xml:space="preserve">and </w:t>
      </w:r>
      <w:r>
        <w:t>standards</w:t>
      </w:r>
      <w:r w:rsidR="00EB559C">
        <w:t xml:space="preserve"> and the prescription of the approved asset management policy</w:t>
      </w:r>
      <w:r>
        <w:t xml:space="preserve">, depreciation on all assets needs to be provided for within the statement of financial performance. This will allow Council to charge consumers during the useful life of the asset on a proportionate basis and not at the date of acquiring the asset. </w:t>
      </w:r>
    </w:p>
    <w:p w:rsidR="0010763E" w:rsidRDefault="0010763E" w:rsidP="00533A6E">
      <w:pPr>
        <w:ind w:left="1418"/>
        <w:jc w:val="both"/>
      </w:pPr>
      <w:r>
        <w:lastRenderedPageBreak/>
        <w:t xml:space="preserve">The amount provided for the </w:t>
      </w:r>
      <w:r w:rsidR="00186DC1">
        <w:t>201</w:t>
      </w:r>
      <w:r w:rsidR="009A5942">
        <w:t>7</w:t>
      </w:r>
      <w:r w:rsidR="00186DC1">
        <w:t>/201</w:t>
      </w:r>
      <w:r w:rsidR="009A5942">
        <w:t>8</w:t>
      </w:r>
      <w:r w:rsidR="003276D4">
        <w:t xml:space="preserve"> </w:t>
      </w:r>
      <w:r>
        <w:t xml:space="preserve">financial year amounts to </w:t>
      </w:r>
      <w:r w:rsidRPr="00713F73">
        <w:t>R</w:t>
      </w:r>
      <w:r w:rsidR="00713F73" w:rsidRPr="00713F73">
        <w:t>17</w:t>
      </w:r>
      <w:r w:rsidRPr="00713F73">
        <w:t>million</w:t>
      </w:r>
      <w:r>
        <w:t xml:space="preserve">, which is </w:t>
      </w:r>
      <w:r w:rsidR="009A5942">
        <w:t xml:space="preserve">meant to be </w:t>
      </w:r>
      <w:r>
        <w:t xml:space="preserve">cash generated </w:t>
      </w:r>
      <w:r w:rsidR="009A5942">
        <w:t>in order to</w:t>
      </w:r>
      <w:r w:rsidR="00D169F2">
        <w:t>se</w:t>
      </w:r>
      <w:r w:rsidR="009A5942">
        <w:t>rve</w:t>
      </w:r>
      <w:r w:rsidR="00D169F2">
        <w:t xml:space="preserve"> as capital replacement reserves to maintain the assets</w:t>
      </w:r>
      <w:r w:rsidR="00305E0E">
        <w:t xml:space="preserve"> for the outer years of 201</w:t>
      </w:r>
      <w:r w:rsidR="009A5942">
        <w:t>8</w:t>
      </w:r>
      <w:r w:rsidR="00305E0E">
        <w:t>/1</w:t>
      </w:r>
      <w:r w:rsidR="009A5942">
        <w:t>9</w:t>
      </w:r>
      <w:r w:rsidR="00305E0E">
        <w:t xml:space="preserve"> and 201</w:t>
      </w:r>
      <w:r w:rsidR="009A5942">
        <w:t>9</w:t>
      </w:r>
      <w:r w:rsidR="00305E0E">
        <w:t>/</w:t>
      </w:r>
      <w:r w:rsidR="009A5942">
        <w:t>20</w:t>
      </w:r>
      <w:r>
        <w:t>.</w:t>
      </w:r>
    </w:p>
    <w:p w:rsidR="0010763E" w:rsidRDefault="0010763E" w:rsidP="00116FF3"/>
    <w:p w:rsidR="0010763E" w:rsidRPr="00021B2D" w:rsidRDefault="002E4707" w:rsidP="00565E0E">
      <w:pPr>
        <w:ind w:left="720"/>
        <w:jc w:val="both"/>
        <w:rPr>
          <w:u w:val="single"/>
        </w:rPr>
      </w:pPr>
      <w:r w:rsidRPr="00E23FCB">
        <w:t>7</w:t>
      </w:r>
      <w:r w:rsidR="009234D7">
        <w:t>.</w:t>
      </w:r>
      <w:r w:rsidR="00E23FCB">
        <w:tab/>
      </w:r>
      <w:r w:rsidR="0010763E" w:rsidRPr="003276D4">
        <w:rPr>
          <w:u w:val="single"/>
        </w:rPr>
        <w:t xml:space="preserve">Repair </w:t>
      </w:r>
      <w:r w:rsidR="0010763E" w:rsidRPr="00021B2D">
        <w:rPr>
          <w:u w:val="single"/>
        </w:rPr>
        <w:t>and maintenance</w:t>
      </w:r>
      <w:r w:rsidR="001425AD" w:rsidRPr="00021B2D">
        <w:rPr>
          <w:u w:val="single"/>
        </w:rPr>
        <w:t xml:space="preserve"> (</w:t>
      </w:r>
      <w:r w:rsidR="00D13C2C">
        <w:rPr>
          <w:u w:val="single"/>
        </w:rPr>
        <w:t>2.15</w:t>
      </w:r>
      <w:r w:rsidR="001425AD" w:rsidRPr="00021B2D">
        <w:rPr>
          <w:u w:val="single"/>
        </w:rPr>
        <w:t>%)</w:t>
      </w:r>
    </w:p>
    <w:p w:rsidR="0010763E" w:rsidRDefault="0010763E" w:rsidP="002803BB">
      <w:pPr>
        <w:ind w:left="720"/>
        <w:jc w:val="both"/>
      </w:pPr>
    </w:p>
    <w:p w:rsidR="0010763E" w:rsidRDefault="0010763E" w:rsidP="00533A6E">
      <w:pPr>
        <w:ind w:left="1418"/>
        <w:jc w:val="both"/>
      </w:pPr>
      <w:r>
        <w:t xml:space="preserve">Repairs and maintenance will be for current buildings occupied by Sedibeng District Council as well as the movable assets on the asset register. An amount </w:t>
      </w:r>
      <w:r w:rsidRPr="00713F73">
        <w:t>of R</w:t>
      </w:r>
      <w:r w:rsidR="003A18D8">
        <w:t>8,4</w:t>
      </w:r>
      <w:r w:rsidRPr="00713F73">
        <w:t>million</w:t>
      </w:r>
      <w:r w:rsidR="003276D4">
        <w:t xml:space="preserve"> </w:t>
      </w:r>
      <w:r>
        <w:t>has been provided</w:t>
      </w:r>
      <w:r w:rsidR="001425AD">
        <w:t xml:space="preserve">, which equates to </w:t>
      </w:r>
      <w:r w:rsidR="00D13C2C">
        <w:t>2.15</w:t>
      </w:r>
      <w:r w:rsidR="001425AD" w:rsidRPr="00713F73">
        <w:t>%</w:t>
      </w:r>
      <w:r w:rsidR="001425AD">
        <w:t xml:space="preserve"> of the total budget of Council</w:t>
      </w:r>
      <w:r>
        <w:t xml:space="preserve">. This is a </w:t>
      </w:r>
      <w:r w:rsidR="00D13C2C">
        <w:t>R3</w:t>
      </w:r>
      <w:r w:rsidR="003276D4">
        <w:t>, 8million increase on</w:t>
      </w:r>
      <w:r w:rsidR="00021B14">
        <w:t xml:space="preserve"> </w:t>
      </w:r>
      <w:r w:rsidRPr="001F6A82">
        <w:t>the 201</w:t>
      </w:r>
      <w:r w:rsidR="008009D0">
        <w:t>6</w:t>
      </w:r>
      <w:r w:rsidRPr="001F6A82">
        <w:t>/201</w:t>
      </w:r>
      <w:r w:rsidR="008009D0">
        <w:t>7</w:t>
      </w:r>
      <w:r w:rsidR="00042CB2">
        <w:t xml:space="preserve"> </w:t>
      </w:r>
      <w:r w:rsidR="003A18D8">
        <w:t xml:space="preserve">adjustment </w:t>
      </w:r>
      <w:r w:rsidRPr="00EF63EC">
        <w:t>budget</w:t>
      </w:r>
      <w:r>
        <w:t xml:space="preserve">. </w:t>
      </w:r>
    </w:p>
    <w:p w:rsidR="007E3092" w:rsidRDefault="007E3092" w:rsidP="00533A6E">
      <w:pPr>
        <w:ind w:left="1418"/>
        <w:jc w:val="both"/>
      </w:pPr>
    </w:p>
    <w:p w:rsidR="0010763E" w:rsidRDefault="0010763E" w:rsidP="00533A6E">
      <w:pPr>
        <w:ind w:left="1418"/>
        <w:jc w:val="both"/>
      </w:pPr>
      <w:r>
        <w:t>Repairs and maintenance of Council’s a</w:t>
      </w:r>
      <w:r w:rsidR="0064089B">
        <w:t>ssets are allocated as follows:</w:t>
      </w:r>
    </w:p>
    <w:p w:rsidR="0010763E" w:rsidRDefault="0010763E" w:rsidP="00533A6E">
      <w:pPr>
        <w:ind w:left="1418"/>
        <w:jc w:val="both"/>
      </w:pPr>
    </w:p>
    <w:tbl>
      <w:tblPr>
        <w:tblW w:w="0" w:type="auto"/>
        <w:tblInd w:w="1680" w:type="dxa"/>
        <w:tblBorders>
          <w:top w:val="single" w:sz="12" w:space="0" w:color="000000"/>
          <w:bottom w:val="single" w:sz="12" w:space="0" w:color="000000"/>
        </w:tblBorders>
        <w:tblLook w:val="00A0" w:firstRow="1" w:lastRow="0" w:firstColumn="1" w:lastColumn="0" w:noHBand="0" w:noVBand="0"/>
      </w:tblPr>
      <w:tblGrid>
        <w:gridCol w:w="5778"/>
        <w:gridCol w:w="1176"/>
      </w:tblGrid>
      <w:tr w:rsidR="0010763E" w:rsidRPr="005D0E43" w:rsidTr="00D13C2C">
        <w:trPr>
          <w:trHeight w:val="300"/>
        </w:trPr>
        <w:tc>
          <w:tcPr>
            <w:tcW w:w="5778" w:type="dxa"/>
            <w:tcBorders>
              <w:top w:val="single" w:sz="12" w:space="0" w:color="000000"/>
              <w:bottom w:val="single" w:sz="6" w:space="0" w:color="000000"/>
              <w:right w:val="single" w:sz="6" w:space="0" w:color="000000"/>
            </w:tcBorders>
            <w:shd w:val="clear" w:color="auto" w:fill="auto"/>
            <w:noWrap/>
          </w:tcPr>
          <w:p w:rsidR="0010763E" w:rsidRPr="00D92342" w:rsidRDefault="0010763E" w:rsidP="00D92342">
            <w:pPr>
              <w:jc w:val="both"/>
              <w:rPr>
                <w:b/>
                <w:bCs/>
                <w:i/>
                <w:iCs/>
              </w:rPr>
            </w:pPr>
            <w:r w:rsidRPr="00D92342">
              <w:rPr>
                <w:b/>
                <w:bCs/>
                <w:i/>
                <w:iCs/>
              </w:rPr>
              <w:t>REPAIR AND MAINTENANCE</w:t>
            </w:r>
          </w:p>
        </w:tc>
        <w:tc>
          <w:tcPr>
            <w:tcW w:w="1176" w:type="dxa"/>
            <w:tcBorders>
              <w:top w:val="single" w:sz="12" w:space="0" w:color="000000"/>
              <w:bottom w:val="single" w:sz="6" w:space="0" w:color="000000"/>
            </w:tcBorders>
            <w:shd w:val="clear" w:color="auto" w:fill="auto"/>
            <w:noWrap/>
          </w:tcPr>
          <w:p w:rsidR="0010763E" w:rsidRPr="005D0E43" w:rsidRDefault="0010763E" w:rsidP="00D92342">
            <w:pPr>
              <w:jc w:val="both"/>
              <w:rPr>
                <w:i/>
                <w:iCs/>
              </w:rPr>
            </w:pPr>
            <w:r w:rsidRPr="005D0E43">
              <w:rPr>
                <w:i/>
                <w:iCs/>
              </w:rPr>
              <w:t> R’000</w:t>
            </w:r>
          </w:p>
        </w:tc>
      </w:tr>
      <w:tr w:rsidR="0010763E" w:rsidRPr="005D0E43" w:rsidTr="00D13C2C">
        <w:trPr>
          <w:trHeight w:val="300"/>
        </w:trPr>
        <w:tc>
          <w:tcPr>
            <w:tcW w:w="5778" w:type="dxa"/>
            <w:tcBorders>
              <w:right w:val="single" w:sz="6" w:space="0" w:color="000000"/>
            </w:tcBorders>
            <w:shd w:val="clear" w:color="auto" w:fill="auto"/>
            <w:noWrap/>
          </w:tcPr>
          <w:p w:rsidR="00520E66" w:rsidRDefault="00520E66" w:rsidP="00520E66">
            <w:pPr>
              <w:jc w:val="both"/>
            </w:pPr>
            <w:r>
              <w:t>Maint - buildings fences &amp; sites</w:t>
            </w:r>
          </w:p>
          <w:p w:rsidR="00520E66" w:rsidRDefault="00520E66" w:rsidP="00520E66">
            <w:pPr>
              <w:jc w:val="both"/>
            </w:pPr>
            <w:r>
              <w:t>Maint - network / infrastructure</w:t>
            </w:r>
          </w:p>
          <w:p w:rsidR="00520E66" w:rsidRDefault="00520E66" w:rsidP="00520E66">
            <w:pPr>
              <w:jc w:val="both"/>
            </w:pPr>
            <w:r>
              <w:t>Maint - plant equipment &amp; furniture</w:t>
            </w:r>
          </w:p>
          <w:p w:rsidR="0010763E" w:rsidRPr="00D92342" w:rsidRDefault="00520E66" w:rsidP="00520E66">
            <w:pPr>
              <w:jc w:val="both"/>
            </w:pPr>
            <w:r>
              <w:t>Maint - vehicles</w:t>
            </w:r>
          </w:p>
        </w:tc>
        <w:tc>
          <w:tcPr>
            <w:tcW w:w="1176" w:type="dxa"/>
            <w:shd w:val="clear" w:color="auto" w:fill="auto"/>
            <w:noWrap/>
          </w:tcPr>
          <w:p w:rsidR="00520E66" w:rsidRDefault="00D13C2C" w:rsidP="00520E66">
            <w:pPr>
              <w:jc w:val="right"/>
            </w:pPr>
            <w:r>
              <w:t>3,</w:t>
            </w:r>
            <w:r w:rsidR="00520E66">
              <w:t>144</w:t>
            </w:r>
          </w:p>
          <w:p w:rsidR="00520E66" w:rsidRDefault="00D13C2C" w:rsidP="00520E66">
            <w:pPr>
              <w:jc w:val="right"/>
            </w:pPr>
            <w:r>
              <w:t>4</w:t>
            </w:r>
            <w:r w:rsidR="00520E66">
              <w:t>,479</w:t>
            </w:r>
          </w:p>
          <w:p w:rsidR="00520E66" w:rsidRDefault="00520E66" w:rsidP="00520E66">
            <w:pPr>
              <w:jc w:val="right"/>
            </w:pPr>
            <w:r>
              <w:t>350</w:t>
            </w:r>
          </w:p>
          <w:p w:rsidR="0010763E" w:rsidRPr="0015793A" w:rsidRDefault="00D13C2C" w:rsidP="00520E66">
            <w:pPr>
              <w:jc w:val="right"/>
            </w:pPr>
            <w:r>
              <w:t>40</w:t>
            </w:r>
            <w:r w:rsidR="00520E66">
              <w:t>0</w:t>
            </w:r>
          </w:p>
        </w:tc>
      </w:tr>
    </w:tbl>
    <w:p w:rsidR="007171E7" w:rsidRDefault="007171E7" w:rsidP="00533A6E">
      <w:pPr>
        <w:ind w:left="1418"/>
        <w:jc w:val="both"/>
      </w:pPr>
    </w:p>
    <w:p w:rsidR="0010763E" w:rsidRPr="002F0D74" w:rsidRDefault="00E23FCB" w:rsidP="00042CB2">
      <w:pPr>
        <w:ind w:left="720"/>
        <w:jc w:val="both"/>
        <w:rPr>
          <w:u w:val="single"/>
        </w:rPr>
      </w:pPr>
      <w:r>
        <w:t>8</w:t>
      </w:r>
      <w:r w:rsidR="009234D7">
        <w:t>.</w:t>
      </w:r>
      <w:r>
        <w:tab/>
      </w:r>
      <w:r w:rsidR="0010763E" w:rsidRPr="002F0D74">
        <w:rPr>
          <w:u w:val="single"/>
        </w:rPr>
        <w:t xml:space="preserve">Contracted </w:t>
      </w:r>
      <w:r w:rsidR="0010763E" w:rsidRPr="00713F73">
        <w:rPr>
          <w:u w:val="single"/>
        </w:rPr>
        <w:t>services</w:t>
      </w:r>
      <w:r w:rsidR="00581658" w:rsidRPr="00713F73">
        <w:rPr>
          <w:u w:val="single"/>
        </w:rPr>
        <w:t xml:space="preserve"> (</w:t>
      </w:r>
      <w:r w:rsidR="00713F73" w:rsidRPr="00713F73">
        <w:rPr>
          <w:u w:val="single"/>
        </w:rPr>
        <w:t>9.27</w:t>
      </w:r>
      <w:r w:rsidR="00581658" w:rsidRPr="00713F73">
        <w:rPr>
          <w:u w:val="single"/>
        </w:rPr>
        <w:t>%)</w:t>
      </w:r>
    </w:p>
    <w:p w:rsidR="0010763E" w:rsidRDefault="0010763E" w:rsidP="002803BB">
      <w:pPr>
        <w:ind w:left="720"/>
        <w:jc w:val="both"/>
      </w:pPr>
    </w:p>
    <w:p w:rsidR="009A57D1" w:rsidRDefault="0010763E" w:rsidP="00533A6E">
      <w:pPr>
        <w:ind w:left="1418"/>
        <w:jc w:val="both"/>
      </w:pPr>
      <w:r>
        <w:t xml:space="preserve">Contracted services have been determined by the need for services to be rendered by service providers and taking the current obligations into account. </w:t>
      </w:r>
    </w:p>
    <w:p w:rsidR="009A57D1" w:rsidRDefault="009A57D1" w:rsidP="00533A6E">
      <w:pPr>
        <w:ind w:left="1418"/>
        <w:jc w:val="both"/>
      </w:pPr>
    </w:p>
    <w:p w:rsidR="009A57D1" w:rsidRDefault="00520E66" w:rsidP="00533A6E">
      <w:pPr>
        <w:ind w:left="1418"/>
        <w:jc w:val="both"/>
      </w:pPr>
      <w:r>
        <w:t>The top</w:t>
      </w:r>
      <w:r w:rsidR="0010763E">
        <w:t xml:space="preserve"> user-departments are stated below</w:t>
      </w:r>
      <w:r w:rsidR="004F5107">
        <w:t>:</w:t>
      </w:r>
    </w:p>
    <w:p w:rsidR="003D52B3" w:rsidRDefault="003D52B3" w:rsidP="00533A6E">
      <w:pPr>
        <w:ind w:left="1418"/>
        <w:jc w:val="both"/>
      </w:pPr>
    </w:p>
    <w:tbl>
      <w:tblPr>
        <w:tblW w:w="9286"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7727"/>
        <w:gridCol w:w="1559"/>
      </w:tblGrid>
      <w:tr w:rsidR="0010763E" w:rsidRPr="00BF2D86" w:rsidTr="003A18D8">
        <w:trPr>
          <w:trHeight w:val="257"/>
        </w:trPr>
        <w:tc>
          <w:tcPr>
            <w:tcW w:w="7727" w:type="dxa"/>
            <w:tcBorders>
              <w:top w:val="single" w:sz="12" w:space="0" w:color="000000"/>
              <w:bottom w:val="single" w:sz="6" w:space="0" w:color="000000"/>
              <w:right w:val="single" w:sz="6" w:space="0" w:color="000000"/>
            </w:tcBorders>
            <w:shd w:val="clear" w:color="auto" w:fill="auto"/>
            <w:noWrap/>
          </w:tcPr>
          <w:p w:rsidR="0010763E" w:rsidRPr="00BF2D86" w:rsidRDefault="0010763E" w:rsidP="00FE09FC">
            <w:pPr>
              <w:rPr>
                <w:b/>
                <w:i/>
                <w:iCs/>
                <w:color w:val="000000"/>
                <w:lang w:val="en-US"/>
              </w:rPr>
            </w:pPr>
            <w:r w:rsidRPr="00BF2D86">
              <w:rPr>
                <w:b/>
                <w:i/>
                <w:iCs/>
                <w:color w:val="000000"/>
                <w:lang w:val="en-US"/>
              </w:rPr>
              <w:t> </w:t>
            </w:r>
            <w:r w:rsidR="00BF2D86" w:rsidRPr="00BF2D86">
              <w:rPr>
                <w:b/>
                <w:i/>
                <w:iCs/>
                <w:color w:val="000000"/>
                <w:lang w:val="en-US"/>
              </w:rPr>
              <w:t>CONTRACTED SERVICES</w:t>
            </w:r>
          </w:p>
        </w:tc>
        <w:tc>
          <w:tcPr>
            <w:tcW w:w="1559" w:type="dxa"/>
            <w:tcBorders>
              <w:top w:val="single" w:sz="12" w:space="0" w:color="000000"/>
              <w:bottom w:val="single" w:sz="6" w:space="0" w:color="000000"/>
            </w:tcBorders>
            <w:shd w:val="clear" w:color="auto" w:fill="auto"/>
          </w:tcPr>
          <w:p w:rsidR="0010763E" w:rsidRPr="00BF2D86" w:rsidRDefault="0010763E" w:rsidP="00FE09FC">
            <w:pPr>
              <w:jc w:val="center"/>
              <w:rPr>
                <w:b/>
                <w:i/>
                <w:iCs/>
                <w:color w:val="000000"/>
                <w:lang w:val="en-US"/>
              </w:rPr>
            </w:pPr>
            <w:r w:rsidRPr="00BF2D86">
              <w:rPr>
                <w:b/>
                <w:i/>
                <w:iCs/>
                <w:color w:val="000000"/>
                <w:lang w:val="en-US"/>
              </w:rPr>
              <w:t>R'000</w:t>
            </w:r>
          </w:p>
        </w:tc>
      </w:tr>
      <w:tr w:rsidR="0010763E" w:rsidRPr="00BF2D86" w:rsidTr="003A18D8">
        <w:trPr>
          <w:trHeight w:val="257"/>
        </w:trPr>
        <w:tc>
          <w:tcPr>
            <w:tcW w:w="7727" w:type="dxa"/>
            <w:tcBorders>
              <w:right w:val="single" w:sz="6" w:space="0" w:color="000000"/>
            </w:tcBorders>
            <w:shd w:val="clear" w:color="auto" w:fill="auto"/>
            <w:noWrap/>
          </w:tcPr>
          <w:p w:rsidR="0010763E" w:rsidRPr="00095308" w:rsidRDefault="00520E66" w:rsidP="00FE09FC">
            <w:pPr>
              <w:rPr>
                <w:color w:val="000000"/>
                <w:lang w:val="en-US"/>
              </w:rPr>
            </w:pPr>
            <w:r>
              <w:rPr>
                <w:color w:val="000000"/>
                <w:lang w:val="en-US"/>
              </w:rPr>
              <w:t>Security Services</w:t>
            </w:r>
          </w:p>
        </w:tc>
        <w:tc>
          <w:tcPr>
            <w:tcW w:w="1559" w:type="dxa"/>
            <w:shd w:val="clear" w:color="auto" w:fill="auto"/>
            <w:noWrap/>
          </w:tcPr>
          <w:p w:rsidR="0010763E" w:rsidRPr="00095308" w:rsidRDefault="00520E66" w:rsidP="00520E66">
            <w:pPr>
              <w:jc w:val="right"/>
              <w:rPr>
                <w:lang w:val="en-US"/>
              </w:rPr>
            </w:pPr>
            <w:r>
              <w:rPr>
                <w:lang w:val="en-US"/>
              </w:rPr>
              <w:t>10,004</w:t>
            </w:r>
          </w:p>
        </w:tc>
      </w:tr>
      <w:tr w:rsidR="0010763E" w:rsidRPr="00BF2D86" w:rsidTr="003A18D8">
        <w:trPr>
          <w:trHeight w:val="277"/>
        </w:trPr>
        <w:tc>
          <w:tcPr>
            <w:tcW w:w="7727" w:type="dxa"/>
            <w:tcBorders>
              <w:right w:val="single" w:sz="6" w:space="0" w:color="000000"/>
            </w:tcBorders>
            <w:shd w:val="clear" w:color="auto" w:fill="auto"/>
            <w:noWrap/>
          </w:tcPr>
          <w:p w:rsidR="0010763E" w:rsidRPr="00095308" w:rsidRDefault="00520E66" w:rsidP="00FE09FC">
            <w:pPr>
              <w:rPr>
                <w:color w:val="000000"/>
                <w:lang w:val="en-US"/>
              </w:rPr>
            </w:pPr>
            <w:r>
              <w:rPr>
                <w:color w:val="000000"/>
                <w:lang w:val="en-US"/>
              </w:rPr>
              <w:t>Municipal Health Services</w:t>
            </w:r>
          </w:p>
        </w:tc>
        <w:tc>
          <w:tcPr>
            <w:tcW w:w="1559" w:type="dxa"/>
            <w:shd w:val="clear" w:color="auto" w:fill="auto"/>
            <w:noWrap/>
          </w:tcPr>
          <w:p w:rsidR="0010763E" w:rsidRPr="00095308" w:rsidRDefault="00CB180B" w:rsidP="000127DA">
            <w:pPr>
              <w:jc w:val="right"/>
              <w:rPr>
                <w:lang w:val="en-US"/>
              </w:rPr>
            </w:pPr>
            <w:r>
              <w:rPr>
                <w:lang w:val="en-US"/>
              </w:rPr>
              <w:t>19,001</w:t>
            </w:r>
          </w:p>
        </w:tc>
      </w:tr>
      <w:tr w:rsidR="0010763E" w:rsidRPr="00BF2D86" w:rsidTr="003A18D8">
        <w:trPr>
          <w:trHeight w:val="300"/>
        </w:trPr>
        <w:tc>
          <w:tcPr>
            <w:tcW w:w="7727" w:type="dxa"/>
            <w:tcBorders>
              <w:right w:val="single" w:sz="6" w:space="0" w:color="000000"/>
            </w:tcBorders>
            <w:shd w:val="clear" w:color="auto" w:fill="auto"/>
            <w:noWrap/>
          </w:tcPr>
          <w:p w:rsidR="0010763E" w:rsidRPr="00540C31" w:rsidRDefault="00520E66" w:rsidP="00C9616C">
            <w:pPr>
              <w:rPr>
                <w:color w:val="000000"/>
                <w:lang w:val="en-US"/>
              </w:rPr>
            </w:pPr>
            <w:r>
              <w:rPr>
                <w:color w:val="000000"/>
                <w:lang w:val="en-US"/>
              </w:rPr>
              <w:t>Internal Audit</w:t>
            </w:r>
          </w:p>
        </w:tc>
        <w:tc>
          <w:tcPr>
            <w:tcW w:w="1559" w:type="dxa"/>
            <w:shd w:val="clear" w:color="auto" w:fill="auto"/>
            <w:noWrap/>
          </w:tcPr>
          <w:p w:rsidR="0010763E" w:rsidRPr="00540C31" w:rsidRDefault="00520E66" w:rsidP="00540C31">
            <w:pPr>
              <w:jc w:val="right"/>
              <w:rPr>
                <w:lang w:val="en-US"/>
              </w:rPr>
            </w:pPr>
            <w:r>
              <w:rPr>
                <w:lang w:val="en-US"/>
              </w:rPr>
              <w:t>1,256</w:t>
            </w:r>
          </w:p>
        </w:tc>
      </w:tr>
      <w:tr w:rsidR="0010763E" w:rsidRPr="00BF2D86" w:rsidTr="003A18D8">
        <w:trPr>
          <w:trHeight w:val="300"/>
        </w:trPr>
        <w:tc>
          <w:tcPr>
            <w:tcW w:w="7727" w:type="dxa"/>
            <w:tcBorders>
              <w:right w:val="single" w:sz="6" w:space="0" w:color="000000"/>
            </w:tcBorders>
            <w:shd w:val="clear" w:color="auto" w:fill="auto"/>
            <w:noWrap/>
          </w:tcPr>
          <w:p w:rsidR="0010763E" w:rsidRPr="00095308" w:rsidRDefault="00520E66" w:rsidP="00C9616C">
            <w:pPr>
              <w:rPr>
                <w:color w:val="000000"/>
                <w:lang w:val="en-US"/>
              </w:rPr>
            </w:pPr>
            <w:r>
              <w:rPr>
                <w:color w:val="000000"/>
                <w:lang w:val="en-US"/>
              </w:rPr>
              <w:t>Maintenance &amp; Cleaning</w:t>
            </w:r>
          </w:p>
        </w:tc>
        <w:tc>
          <w:tcPr>
            <w:tcW w:w="1559" w:type="dxa"/>
            <w:shd w:val="clear" w:color="auto" w:fill="auto"/>
            <w:noWrap/>
          </w:tcPr>
          <w:p w:rsidR="0010763E" w:rsidRPr="00095308" w:rsidRDefault="00520E66" w:rsidP="00095308">
            <w:pPr>
              <w:jc w:val="right"/>
              <w:rPr>
                <w:lang w:val="en-US"/>
              </w:rPr>
            </w:pPr>
            <w:r>
              <w:rPr>
                <w:lang w:val="en-US"/>
              </w:rPr>
              <w:t>3,426</w:t>
            </w:r>
          </w:p>
        </w:tc>
      </w:tr>
      <w:tr w:rsidR="00700B76" w:rsidRPr="00BF2D86" w:rsidTr="003A18D8">
        <w:trPr>
          <w:trHeight w:val="300"/>
        </w:trPr>
        <w:tc>
          <w:tcPr>
            <w:tcW w:w="7727" w:type="dxa"/>
            <w:tcBorders>
              <w:right w:val="single" w:sz="6" w:space="0" w:color="000000"/>
            </w:tcBorders>
            <w:shd w:val="clear" w:color="auto" w:fill="auto"/>
            <w:noWrap/>
          </w:tcPr>
          <w:p w:rsidR="00700B76" w:rsidRPr="00095308" w:rsidRDefault="00520E66" w:rsidP="005D1B6E">
            <w:pPr>
              <w:rPr>
                <w:color w:val="000000"/>
                <w:lang w:val="en-US"/>
              </w:rPr>
            </w:pPr>
            <w:r>
              <w:rPr>
                <w:color w:val="000000"/>
                <w:lang w:val="en-US"/>
              </w:rPr>
              <w:t>Taxi Rank Cleaning</w:t>
            </w:r>
          </w:p>
        </w:tc>
        <w:tc>
          <w:tcPr>
            <w:tcW w:w="1559" w:type="dxa"/>
            <w:shd w:val="clear" w:color="auto" w:fill="auto"/>
            <w:noWrap/>
          </w:tcPr>
          <w:p w:rsidR="00700B76" w:rsidRPr="00095308" w:rsidRDefault="00520E66" w:rsidP="00FE09FC">
            <w:pPr>
              <w:jc w:val="right"/>
              <w:rPr>
                <w:lang w:val="en-US"/>
              </w:rPr>
            </w:pPr>
            <w:r>
              <w:rPr>
                <w:lang w:val="en-US"/>
              </w:rPr>
              <w:t>660</w:t>
            </w:r>
          </w:p>
        </w:tc>
      </w:tr>
      <w:tr w:rsidR="00B929EB" w:rsidRPr="00BF2D86" w:rsidTr="003A18D8">
        <w:trPr>
          <w:trHeight w:val="300"/>
        </w:trPr>
        <w:tc>
          <w:tcPr>
            <w:tcW w:w="7727" w:type="dxa"/>
            <w:tcBorders>
              <w:right w:val="single" w:sz="6" w:space="0" w:color="000000"/>
            </w:tcBorders>
            <w:shd w:val="clear" w:color="auto" w:fill="auto"/>
            <w:noWrap/>
          </w:tcPr>
          <w:p w:rsidR="00B929EB" w:rsidRPr="00540C31" w:rsidRDefault="000127DA" w:rsidP="00FE09FC">
            <w:pPr>
              <w:rPr>
                <w:color w:val="000000"/>
                <w:lang w:val="en-US"/>
              </w:rPr>
            </w:pPr>
            <w:r>
              <w:rPr>
                <w:color w:val="000000"/>
                <w:lang w:val="en-US"/>
              </w:rPr>
              <w:t>Fresh Produce Market</w:t>
            </w:r>
          </w:p>
        </w:tc>
        <w:tc>
          <w:tcPr>
            <w:tcW w:w="1559" w:type="dxa"/>
            <w:shd w:val="clear" w:color="auto" w:fill="auto"/>
            <w:noWrap/>
          </w:tcPr>
          <w:p w:rsidR="00B929EB" w:rsidRPr="00540C31" w:rsidRDefault="000127DA" w:rsidP="00540C31">
            <w:pPr>
              <w:jc w:val="right"/>
              <w:rPr>
                <w:lang w:val="en-US"/>
              </w:rPr>
            </w:pPr>
            <w:r>
              <w:rPr>
                <w:lang w:val="en-US"/>
              </w:rPr>
              <w:t>515</w:t>
            </w:r>
          </w:p>
        </w:tc>
      </w:tr>
      <w:tr w:rsidR="00B929EB" w:rsidRPr="00BF2D86" w:rsidTr="003A18D8">
        <w:trPr>
          <w:trHeight w:val="300"/>
        </w:trPr>
        <w:tc>
          <w:tcPr>
            <w:tcW w:w="7727" w:type="dxa"/>
            <w:tcBorders>
              <w:right w:val="single" w:sz="6" w:space="0" w:color="000000"/>
            </w:tcBorders>
            <w:shd w:val="clear" w:color="auto" w:fill="auto"/>
            <w:noWrap/>
          </w:tcPr>
          <w:p w:rsidR="00B929EB" w:rsidRPr="00095308" w:rsidRDefault="000127DA" w:rsidP="00FE09FC">
            <w:pPr>
              <w:rPr>
                <w:color w:val="000000"/>
                <w:lang w:val="en-US"/>
              </w:rPr>
            </w:pPr>
            <w:r>
              <w:rPr>
                <w:color w:val="000000"/>
                <w:lang w:val="en-US"/>
              </w:rPr>
              <w:t>Information Technology</w:t>
            </w:r>
          </w:p>
        </w:tc>
        <w:tc>
          <w:tcPr>
            <w:tcW w:w="1559" w:type="dxa"/>
            <w:shd w:val="clear" w:color="auto" w:fill="auto"/>
            <w:noWrap/>
          </w:tcPr>
          <w:p w:rsidR="00B929EB" w:rsidRPr="00095308" w:rsidRDefault="000127DA" w:rsidP="00FE09FC">
            <w:pPr>
              <w:jc w:val="right"/>
              <w:rPr>
                <w:lang w:val="en-US"/>
              </w:rPr>
            </w:pPr>
            <w:r>
              <w:rPr>
                <w:lang w:val="en-US"/>
              </w:rPr>
              <w:t>421</w:t>
            </w:r>
          </w:p>
        </w:tc>
      </w:tr>
      <w:tr w:rsidR="000127DA" w:rsidRPr="00BF2D86" w:rsidTr="003A18D8">
        <w:trPr>
          <w:trHeight w:val="300"/>
        </w:trPr>
        <w:tc>
          <w:tcPr>
            <w:tcW w:w="7727" w:type="dxa"/>
            <w:tcBorders>
              <w:right w:val="single" w:sz="6" w:space="0" w:color="000000"/>
            </w:tcBorders>
            <w:shd w:val="clear" w:color="auto" w:fill="auto"/>
            <w:noWrap/>
          </w:tcPr>
          <w:p w:rsidR="000127DA" w:rsidRDefault="000127DA" w:rsidP="00FE09FC">
            <w:pPr>
              <w:rPr>
                <w:color w:val="000000"/>
                <w:lang w:val="en-US"/>
              </w:rPr>
            </w:pPr>
            <w:r>
              <w:rPr>
                <w:color w:val="000000"/>
                <w:lang w:val="en-US"/>
              </w:rPr>
              <w:t>Heritage</w:t>
            </w:r>
          </w:p>
        </w:tc>
        <w:tc>
          <w:tcPr>
            <w:tcW w:w="1559" w:type="dxa"/>
            <w:shd w:val="clear" w:color="auto" w:fill="auto"/>
            <w:noWrap/>
          </w:tcPr>
          <w:p w:rsidR="000127DA" w:rsidRDefault="000127DA" w:rsidP="00FE09FC">
            <w:pPr>
              <w:jc w:val="right"/>
              <w:rPr>
                <w:lang w:val="en-US"/>
              </w:rPr>
            </w:pPr>
            <w:r>
              <w:rPr>
                <w:lang w:val="en-US"/>
              </w:rPr>
              <w:t>384</w:t>
            </w:r>
          </w:p>
        </w:tc>
      </w:tr>
    </w:tbl>
    <w:p w:rsidR="002D0059" w:rsidRDefault="002D0059" w:rsidP="002D0059">
      <w:pPr>
        <w:ind w:left="1854"/>
        <w:jc w:val="both"/>
        <w:rPr>
          <w:u w:val="single"/>
        </w:rPr>
      </w:pPr>
    </w:p>
    <w:p w:rsidR="0010763E" w:rsidRPr="00594CFD" w:rsidRDefault="002D0059" w:rsidP="004D4CBC">
      <w:pPr>
        <w:ind w:left="720"/>
        <w:jc w:val="both"/>
        <w:rPr>
          <w:u w:val="single"/>
        </w:rPr>
      </w:pPr>
      <w:r w:rsidRPr="002D0059">
        <w:t>9</w:t>
      </w:r>
      <w:r w:rsidR="009234D7">
        <w:t>.</w:t>
      </w:r>
      <w:r w:rsidRPr="002D0059">
        <w:tab/>
      </w:r>
      <w:r w:rsidR="0010763E" w:rsidRPr="00594CFD">
        <w:rPr>
          <w:u w:val="single"/>
        </w:rPr>
        <w:t>General Expenses</w:t>
      </w:r>
      <w:r w:rsidR="00581658" w:rsidRPr="00594CFD">
        <w:rPr>
          <w:u w:val="single"/>
        </w:rPr>
        <w:t xml:space="preserve"> (</w:t>
      </w:r>
      <w:r w:rsidR="00713F73" w:rsidRPr="00594CFD">
        <w:rPr>
          <w:u w:val="single"/>
        </w:rPr>
        <w:t>17</w:t>
      </w:r>
      <w:r w:rsidR="00581658" w:rsidRPr="00594CFD">
        <w:rPr>
          <w:u w:val="single"/>
        </w:rPr>
        <w:t>%)</w:t>
      </w:r>
    </w:p>
    <w:p w:rsidR="006A2140" w:rsidRPr="009C284E" w:rsidRDefault="006A2140" w:rsidP="006A2140">
      <w:pPr>
        <w:ind w:left="1224"/>
        <w:jc w:val="both"/>
        <w:rPr>
          <w:u w:val="single"/>
        </w:rPr>
      </w:pPr>
    </w:p>
    <w:p w:rsidR="002D0059" w:rsidRDefault="0010763E" w:rsidP="002D0059">
      <w:pPr>
        <w:ind w:left="1440"/>
        <w:jc w:val="both"/>
      </w:pPr>
      <w:r>
        <w:t xml:space="preserve">The general expenditure budget has been drawn up in order to assist the employees of Council to provide them with the necessary </w:t>
      </w:r>
      <w:r w:rsidR="00C86FF5">
        <w:t xml:space="preserve">tools and consumables </w:t>
      </w:r>
      <w:r>
        <w:t xml:space="preserve">to achieve the deliverables as set in the </w:t>
      </w:r>
      <w:r w:rsidR="00267EE6">
        <w:t>NDP, TMR, GDS and IDP, while remaining within the constraints of the municipality’s limited revenue sources</w:t>
      </w:r>
      <w:r>
        <w:t xml:space="preserve">. The budget has also been drawn up taking into consideration that the main purpose of the District is to plan and co-ordinate, whereas the </w:t>
      </w:r>
      <w:r w:rsidR="00C86FF5">
        <w:t xml:space="preserve">service delivery </w:t>
      </w:r>
      <w:r>
        <w:t xml:space="preserve">execution process will be performed at a </w:t>
      </w:r>
      <w:r w:rsidR="00A47CFD">
        <w:t xml:space="preserve">local municipality </w:t>
      </w:r>
      <w:r>
        <w:t>level.</w:t>
      </w:r>
      <w:r w:rsidR="006B5FB1">
        <w:t xml:space="preserve"> </w:t>
      </w:r>
    </w:p>
    <w:p w:rsidR="002D0059" w:rsidRDefault="002D0059" w:rsidP="002D0059">
      <w:pPr>
        <w:ind w:left="1440"/>
        <w:jc w:val="both"/>
      </w:pPr>
    </w:p>
    <w:p w:rsidR="002D0059" w:rsidRDefault="002D0059" w:rsidP="002D0059">
      <w:pPr>
        <w:ind w:left="1440"/>
        <w:jc w:val="both"/>
      </w:pPr>
    </w:p>
    <w:p w:rsidR="0010763E" w:rsidRDefault="006B5FB1" w:rsidP="002D0059">
      <w:pPr>
        <w:ind w:left="1440"/>
        <w:jc w:val="both"/>
      </w:pPr>
      <w:r>
        <w:lastRenderedPageBreak/>
        <w:t>Note should be taken that the</w:t>
      </w:r>
      <w:r w:rsidR="001A4853">
        <w:t xml:space="preserve">re has been a </w:t>
      </w:r>
      <w:r w:rsidR="00A47CFD" w:rsidRPr="00594CFD">
        <w:t>decrease</w:t>
      </w:r>
      <w:r w:rsidR="00872D14" w:rsidRPr="00594CFD">
        <w:t>of R</w:t>
      </w:r>
      <w:r w:rsidR="00713F73" w:rsidRPr="00594CFD">
        <w:t>3</w:t>
      </w:r>
      <w:r w:rsidR="00594CFD" w:rsidRPr="00594CFD">
        <w:t>,9</w:t>
      </w:r>
      <w:r w:rsidR="002A097C">
        <w:t xml:space="preserve"> </w:t>
      </w:r>
      <w:r w:rsidR="00872D14" w:rsidRPr="00594CFD">
        <w:t>million</w:t>
      </w:r>
      <w:r w:rsidR="002A097C">
        <w:t xml:space="preserve"> </w:t>
      </w:r>
      <w:r w:rsidR="00C64149" w:rsidRPr="00713F73">
        <w:t xml:space="preserve">in general expenditure </w:t>
      </w:r>
      <w:r w:rsidR="00267EE6" w:rsidRPr="00713F73">
        <w:t>budgeted from</w:t>
      </w:r>
      <w:r w:rsidR="00872D14" w:rsidRPr="00713F73">
        <w:t xml:space="preserve"> 201</w:t>
      </w:r>
      <w:r w:rsidR="00267EE6" w:rsidRPr="00713F73">
        <w:t>7</w:t>
      </w:r>
      <w:r w:rsidR="00872D14" w:rsidRPr="00713F73">
        <w:t>/201</w:t>
      </w:r>
      <w:r w:rsidR="00267EE6" w:rsidRPr="00713F73">
        <w:t>8compared to</w:t>
      </w:r>
      <w:r w:rsidR="00700B76" w:rsidRPr="00713F73">
        <w:t xml:space="preserve"> the </w:t>
      </w:r>
      <w:r w:rsidR="00872D14" w:rsidRPr="00713F73">
        <w:t>201</w:t>
      </w:r>
      <w:r w:rsidR="00267EE6" w:rsidRPr="00713F73">
        <w:t>6</w:t>
      </w:r>
      <w:r w:rsidR="00872D14" w:rsidRPr="00713F73">
        <w:t>/201</w:t>
      </w:r>
      <w:r w:rsidR="00267EE6" w:rsidRPr="00713F73">
        <w:t>7</w:t>
      </w:r>
      <w:r w:rsidR="00700B76" w:rsidRPr="00713F73">
        <w:t xml:space="preserve">adjustment budget </w:t>
      </w:r>
      <w:r w:rsidR="001A4853" w:rsidRPr="00713F73">
        <w:t xml:space="preserve">due </w:t>
      </w:r>
      <w:r w:rsidR="00872D14" w:rsidRPr="00713F73">
        <w:t>compensating for</w:t>
      </w:r>
      <w:r w:rsidR="00267EE6" w:rsidRPr="00713F73">
        <w:t xml:space="preserve"> the </w:t>
      </w:r>
      <w:r w:rsidR="004F07D0" w:rsidRPr="00713F73">
        <w:t xml:space="preserve">decline in the growth of the </w:t>
      </w:r>
      <w:r w:rsidR="00267EE6" w:rsidRPr="00713F73">
        <w:t>e</w:t>
      </w:r>
      <w:r w:rsidR="001A4853" w:rsidRPr="00713F73">
        <w:t xml:space="preserve">quitable share </w:t>
      </w:r>
      <w:r w:rsidR="004F07D0" w:rsidRPr="00713F73">
        <w:t>and</w:t>
      </w:r>
      <w:r w:rsidR="001A4853" w:rsidRPr="00713F73">
        <w:t xml:space="preserve"> sala</w:t>
      </w:r>
      <w:r w:rsidRPr="00713F73">
        <w:t xml:space="preserve">ry </w:t>
      </w:r>
      <w:r w:rsidR="009B628B" w:rsidRPr="00713F73">
        <w:t xml:space="preserve">budget </w:t>
      </w:r>
      <w:r w:rsidRPr="00713F73">
        <w:t>increase</w:t>
      </w:r>
      <w:r w:rsidR="004F07D0" w:rsidRPr="00713F73">
        <w:t>,</w:t>
      </w:r>
      <w:r w:rsidRPr="00713F73">
        <w:t xml:space="preserve"> which </w:t>
      </w:r>
      <w:r w:rsidR="009B628B" w:rsidRPr="00713F73">
        <w:t>has grown</w:t>
      </w:r>
      <w:r w:rsidRPr="00713F73">
        <w:t xml:space="preserve"> above</w:t>
      </w:r>
      <w:r w:rsidR="001A4853" w:rsidRPr="00713F73">
        <w:t xml:space="preserve"> the equitable share </w:t>
      </w:r>
      <w:r w:rsidR="009B628B" w:rsidRPr="00713F73">
        <w:t>growth</w:t>
      </w:r>
      <w:r w:rsidR="008E1FEA">
        <w:t>.</w:t>
      </w:r>
    </w:p>
    <w:p w:rsidR="006A2140" w:rsidRPr="009A57D1" w:rsidRDefault="006A2140" w:rsidP="006A2140">
      <w:pPr>
        <w:ind w:left="1418"/>
        <w:jc w:val="both"/>
      </w:pPr>
    </w:p>
    <w:p w:rsidR="0010763E" w:rsidRDefault="0010763E" w:rsidP="002D0059">
      <w:pPr>
        <w:ind w:left="1440"/>
        <w:jc w:val="both"/>
      </w:pPr>
      <w:r>
        <w:t>Council are advised to review</w:t>
      </w:r>
      <w:r w:rsidRPr="00850960">
        <w:t xml:space="preserve"> training and development costs in terms of the operational and service delivery requirements of Council, and </w:t>
      </w:r>
      <w:r w:rsidR="004F07D0">
        <w:t>a concerted</w:t>
      </w:r>
      <w:r w:rsidRPr="00850960">
        <w:t xml:space="preserve"> effort be made  </w:t>
      </w:r>
      <w:r>
        <w:t xml:space="preserve">immediately to approach the various SETA’s to gain </w:t>
      </w:r>
      <w:r w:rsidR="004F07D0">
        <w:t xml:space="preserve">LGSETA discretionary </w:t>
      </w:r>
      <w:r>
        <w:t>grant funding as income</w:t>
      </w:r>
      <w:r w:rsidRPr="00850960">
        <w:t xml:space="preserve"> before the approval of the final budget for </w:t>
      </w:r>
      <w:r w:rsidR="00186DC1">
        <w:t>201</w:t>
      </w:r>
      <w:r w:rsidR="004F07D0">
        <w:t>7</w:t>
      </w:r>
      <w:r w:rsidR="00186DC1">
        <w:t>/201</w:t>
      </w:r>
      <w:r w:rsidR="004F07D0">
        <w:t>8</w:t>
      </w:r>
      <w:r w:rsidRPr="00850960">
        <w:t xml:space="preserve"> by Council.</w:t>
      </w:r>
    </w:p>
    <w:p w:rsidR="00EE5C90" w:rsidRDefault="00EE5C90" w:rsidP="002D0059">
      <w:pPr>
        <w:ind w:left="1440"/>
        <w:jc w:val="both"/>
      </w:pPr>
    </w:p>
    <w:p w:rsidR="00EE5C90" w:rsidRDefault="00EE5C90" w:rsidP="002D0059">
      <w:pPr>
        <w:ind w:left="1440"/>
        <w:jc w:val="both"/>
      </w:pPr>
      <w:r>
        <w:t>It should also be noted that without these LGSETA discretionary grant funding, the municipality cannot afford to implement their internal training and development p</w:t>
      </w:r>
      <w:r w:rsidR="004F34B0">
        <w:t xml:space="preserve">rogramme over the MTREF, reducing ability to achieve IDP outcomes for </w:t>
      </w:r>
      <w:r w:rsidR="004F34B0">
        <w:rPr>
          <w:i/>
        </w:rPr>
        <w:t>Releasing Human Potential</w:t>
      </w:r>
      <w:r w:rsidR="004F34B0">
        <w:t>.</w:t>
      </w:r>
    </w:p>
    <w:p w:rsidR="003D52B3" w:rsidRDefault="003D52B3" w:rsidP="00506767">
      <w:pPr>
        <w:ind w:left="720"/>
        <w:jc w:val="both"/>
      </w:pPr>
    </w:p>
    <w:p w:rsidR="00780B31" w:rsidRDefault="00C75D7B" w:rsidP="00506767">
      <w:pPr>
        <w:ind w:left="720"/>
        <w:jc w:val="both"/>
        <w:rPr>
          <w:u w:val="single"/>
        </w:rPr>
      </w:pPr>
      <w:r>
        <w:t>10</w:t>
      </w:r>
      <w:r w:rsidR="009234D7">
        <w:t>.</w:t>
      </w:r>
      <w:r>
        <w:tab/>
      </w:r>
      <w:r w:rsidR="00780B31">
        <w:t xml:space="preserve"> </w:t>
      </w:r>
      <w:r w:rsidR="006E69AE">
        <w:rPr>
          <w:u w:val="single"/>
        </w:rPr>
        <w:t>Implementation of MSCOA</w:t>
      </w:r>
    </w:p>
    <w:p w:rsidR="00780B31" w:rsidRDefault="00780B31" w:rsidP="00506767">
      <w:pPr>
        <w:ind w:left="720"/>
        <w:jc w:val="both"/>
        <w:rPr>
          <w:u w:val="single"/>
        </w:rPr>
      </w:pPr>
    </w:p>
    <w:p w:rsidR="003D52B3" w:rsidRDefault="008009D0" w:rsidP="00C75D7B">
      <w:pPr>
        <w:ind w:left="1440"/>
        <w:jc w:val="both"/>
      </w:pPr>
      <w:r>
        <w:t xml:space="preserve">The SCOA (Standard </w:t>
      </w:r>
      <w:r w:rsidR="009B628B">
        <w:t>C</w:t>
      </w:r>
      <w:r>
        <w:t xml:space="preserve">hart of </w:t>
      </w:r>
      <w:r w:rsidR="009B628B">
        <w:t>A</w:t>
      </w:r>
      <w:r>
        <w:t xml:space="preserve">ccounts) must also be implemented in full before the deadline of 1 July 2017 and therefor an amount of </w:t>
      </w:r>
      <w:r w:rsidR="006E69AE">
        <w:t>R</w:t>
      </w:r>
      <w:r>
        <w:t>3,2</w:t>
      </w:r>
      <w:r w:rsidR="00C75D7B">
        <w:t xml:space="preserve"> </w:t>
      </w:r>
      <w:r>
        <w:t>million was provided for in the capital budget</w:t>
      </w:r>
      <w:r w:rsidR="00780B31">
        <w:t>.</w:t>
      </w:r>
      <w:r w:rsidR="006E69AE">
        <w:t xml:space="preserve"> The </w:t>
      </w:r>
      <w:r w:rsidR="003F6745">
        <w:t>tabled</w:t>
      </w:r>
      <w:r w:rsidR="006E69AE">
        <w:t xml:space="preserve"> 2017/2018 MTREF has been drafted in MSCOA format</w:t>
      </w:r>
      <w:r w:rsidR="003F6745">
        <w:t xml:space="preserve"> (version 6.1), and the municipality has received </w:t>
      </w:r>
      <w:r w:rsidR="006E69AE">
        <w:t xml:space="preserve">feedback from National Treasury on the technical soundness of the </w:t>
      </w:r>
      <w:r w:rsidR="003F6745">
        <w:t xml:space="preserve">draft MTREF, and do not anticipate there to be significant challenges with the </w:t>
      </w:r>
      <w:r w:rsidR="00073999">
        <w:t>transition over to MSCOA on 01 July 2017.</w:t>
      </w:r>
    </w:p>
    <w:p w:rsidR="003D52B3" w:rsidRPr="009A57D1" w:rsidRDefault="003D52B3" w:rsidP="00506767">
      <w:pPr>
        <w:ind w:left="720"/>
        <w:jc w:val="both"/>
      </w:pPr>
    </w:p>
    <w:p w:rsidR="0010763E" w:rsidRDefault="0010763E" w:rsidP="004F18AC">
      <w:pPr>
        <w:ind w:left="720"/>
        <w:jc w:val="both"/>
        <w:rPr>
          <w:caps/>
          <w:u w:val="single"/>
        </w:rPr>
      </w:pPr>
      <w:r w:rsidRPr="00AD4F5F">
        <w:rPr>
          <w:caps/>
          <w:u w:val="single"/>
        </w:rPr>
        <w:t>INVESTMENT IN</w:t>
      </w:r>
      <w:r>
        <w:rPr>
          <w:caps/>
          <w:u w:val="single"/>
        </w:rPr>
        <w:t>to</w:t>
      </w:r>
      <w:r w:rsidRPr="00AD4F5F">
        <w:rPr>
          <w:caps/>
          <w:u w:val="single"/>
        </w:rPr>
        <w:t xml:space="preserve"> Capital </w:t>
      </w:r>
    </w:p>
    <w:p w:rsidR="0010763E" w:rsidRDefault="0010763E" w:rsidP="00AD4F5F">
      <w:pPr>
        <w:jc w:val="both"/>
        <w:rPr>
          <w:caps/>
          <w:u w:val="single"/>
        </w:rPr>
      </w:pPr>
    </w:p>
    <w:p w:rsidR="0010763E" w:rsidRDefault="0010763E" w:rsidP="006330CB">
      <w:pPr>
        <w:ind w:left="720"/>
        <w:jc w:val="both"/>
      </w:pPr>
      <w:r>
        <w:t xml:space="preserve">The total Capital investment for </w:t>
      </w:r>
      <w:r w:rsidR="00186DC1">
        <w:t>201</w:t>
      </w:r>
      <w:r w:rsidR="00FB0601">
        <w:t>7</w:t>
      </w:r>
      <w:r w:rsidR="00186DC1">
        <w:t>/201</w:t>
      </w:r>
      <w:r w:rsidR="00FB0601">
        <w:t>8</w:t>
      </w:r>
      <w:r w:rsidR="004707B8">
        <w:t xml:space="preserve"> will be </w:t>
      </w:r>
      <w:r w:rsidR="00594CFD">
        <w:t>R6</w:t>
      </w:r>
      <w:r w:rsidR="00FB0601">
        <w:t>million</w:t>
      </w:r>
      <w:r w:rsidRPr="004707B8">
        <w:t xml:space="preserve"> whereby </w:t>
      </w:r>
      <w:r w:rsidR="001A4853">
        <w:t xml:space="preserve">the full amount </w:t>
      </w:r>
      <w:r w:rsidRPr="004707B8">
        <w:t xml:space="preserve">will be funded from </w:t>
      </w:r>
      <w:r w:rsidR="005217C7" w:rsidRPr="004707B8">
        <w:t xml:space="preserve">our internal </w:t>
      </w:r>
      <w:r w:rsidR="00FB0601">
        <w:t>provisions</w:t>
      </w:r>
      <w:r w:rsidR="00482A51">
        <w:t>(</w:t>
      </w:r>
      <w:r w:rsidRPr="00D72D0A">
        <w:rPr>
          <w:b/>
          <w:bCs/>
        </w:rPr>
        <w:t>S</w:t>
      </w:r>
      <w:r>
        <w:rPr>
          <w:b/>
          <w:bCs/>
        </w:rPr>
        <w:t xml:space="preserve">ee Annexure </w:t>
      </w:r>
      <w:r w:rsidR="004F5107">
        <w:rPr>
          <w:b/>
          <w:bCs/>
        </w:rPr>
        <w:t>“</w:t>
      </w:r>
      <w:r w:rsidR="001A4853">
        <w:rPr>
          <w:b/>
          <w:bCs/>
        </w:rPr>
        <w:t>D</w:t>
      </w:r>
      <w:r w:rsidR="004F5107">
        <w:rPr>
          <w:b/>
          <w:bCs/>
        </w:rPr>
        <w:t>”</w:t>
      </w:r>
      <w:r w:rsidRPr="005217C7">
        <w:rPr>
          <w:bCs/>
        </w:rPr>
        <w:t>).</w:t>
      </w:r>
      <w:r w:rsidR="00C64149">
        <w:rPr>
          <w:bCs/>
        </w:rPr>
        <w:t xml:space="preserve"> Clusters are encouraged to source g</w:t>
      </w:r>
      <w:r w:rsidRPr="00233595">
        <w:t xml:space="preserve">rant funding </w:t>
      </w:r>
      <w:r w:rsidR="00C64149">
        <w:t>for futurecapital projects</w:t>
      </w:r>
      <w:r>
        <w:t>. Donor</w:t>
      </w:r>
      <w:r w:rsidR="00037C79">
        <w:t xml:space="preserve"> and Grant </w:t>
      </w:r>
      <w:r>
        <w:t>Funding must also be considered for planned projects as outlined in the IDP to ensure that it is properly funded before the final 201</w:t>
      </w:r>
      <w:r w:rsidR="00FB0601">
        <w:t>7</w:t>
      </w:r>
      <w:r>
        <w:t>/1</w:t>
      </w:r>
      <w:r w:rsidR="00FB0601">
        <w:t>8</w:t>
      </w:r>
      <w:r>
        <w:t xml:space="preserve"> budget</w:t>
      </w:r>
      <w:r w:rsidR="00037C79">
        <w:t xml:space="preserve"> is approved by Council</w:t>
      </w:r>
      <w:r>
        <w:t>.</w:t>
      </w:r>
    </w:p>
    <w:p w:rsidR="009D4E0B" w:rsidRDefault="009D4E0B" w:rsidP="006330CB">
      <w:pPr>
        <w:ind w:left="720"/>
        <w:jc w:val="both"/>
      </w:pPr>
    </w:p>
    <w:p w:rsidR="009D4E0B" w:rsidRDefault="009D4E0B" w:rsidP="006330CB">
      <w:pPr>
        <w:ind w:left="720"/>
        <w:jc w:val="both"/>
      </w:pPr>
      <w:r>
        <w:t>During the budget assessment engagement with Provincial Treasury, an appeal was made by the municipality to explore capital investment options available to the municipality for increasing the revenue-generating capacity of existing municipal functions such as the Vaal Aerodrome, the two Theatres, the City Hall and the Fresh Produce Market.</w:t>
      </w:r>
    </w:p>
    <w:p w:rsidR="009D4E0B" w:rsidRDefault="009D4E0B" w:rsidP="006330CB">
      <w:pPr>
        <w:ind w:left="720"/>
        <w:jc w:val="both"/>
      </w:pPr>
    </w:p>
    <w:p w:rsidR="009D4E0B" w:rsidRDefault="009D4E0B" w:rsidP="006330CB">
      <w:pPr>
        <w:ind w:left="720"/>
        <w:jc w:val="both"/>
      </w:pPr>
      <w:r>
        <w:t xml:space="preserve">Further engagement has also been held </w:t>
      </w:r>
      <w:r w:rsidR="00F81DFF">
        <w:t xml:space="preserve">by </w:t>
      </w:r>
      <w:r>
        <w:t xml:space="preserve">the municipality with the HOD of the Gauteng Provincial Department Roads &amp; Transport on infrastructure refurbishment </w:t>
      </w:r>
      <w:r w:rsidR="00F81DFF">
        <w:t>of the Licensing Service Centres which are currently being leased from the local municipalities.</w:t>
      </w:r>
    </w:p>
    <w:p w:rsidR="009B2403" w:rsidRDefault="009B2403" w:rsidP="006330CB">
      <w:pPr>
        <w:ind w:left="1440"/>
        <w:jc w:val="both"/>
      </w:pPr>
    </w:p>
    <w:p w:rsidR="00594CFD" w:rsidRDefault="00F81DFF" w:rsidP="006330CB">
      <w:pPr>
        <w:ind w:left="720"/>
        <w:jc w:val="both"/>
      </w:pPr>
      <w:r>
        <w:t>Council must take note that as the municipality currently no longer holds cash-backed reserves, Council will not have the ability to fund future capital projects and programmes f</w:t>
      </w:r>
      <w:r w:rsidR="00201DB6">
        <w:t>rom internal sources of funding.</w:t>
      </w:r>
    </w:p>
    <w:p w:rsidR="00594CFD" w:rsidRDefault="00594CFD" w:rsidP="004B1D78">
      <w:pPr>
        <w:ind w:left="633"/>
        <w:jc w:val="both"/>
      </w:pPr>
    </w:p>
    <w:p w:rsidR="00FE0C0D" w:rsidRDefault="00201DB6" w:rsidP="004B1D78">
      <w:pPr>
        <w:ind w:left="633"/>
        <w:jc w:val="both"/>
      </w:pPr>
      <w:r>
        <w:lastRenderedPageBreak/>
        <w:tab/>
      </w:r>
      <w:r w:rsidR="00DE44B5" w:rsidRPr="00DE44B5">
        <w:rPr>
          <w:u w:val="single"/>
        </w:rPr>
        <w:t xml:space="preserve">Annual </w:t>
      </w:r>
      <w:r w:rsidR="00FE0C0D">
        <w:rPr>
          <w:u w:val="single"/>
        </w:rPr>
        <w:t>Procurement Plans</w:t>
      </w:r>
      <w:r w:rsidR="00FE0C0D">
        <w:t>:</w:t>
      </w:r>
    </w:p>
    <w:p w:rsidR="00FE0C0D" w:rsidRDefault="00FE0C0D" w:rsidP="004B1D78">
      <w:pPr>
        <w:ind w:left="633"/>
        <w:jc w:val="both"/>
      </w:pPr>
    </w:p>
    <w:p w:rsidR="00DE44B5" w:rsidRDefault="00DE44B5" w:rsidP="00BF7705">
      <w:pPr>
        <w:ind w:left="720"/>
        <w:jc w:val="both"/>
      </w:pPr>
      <w:r>
        <w:t>On matters relating to financial investment activities into operational, maintenance, repair, improvement and additions to property, plant and equipment, as well as Council programmes, it has been recommended that Clusters prepare their procurement plans with the purpose of regular monitoring and reporting on the performance of the organisation against these procurement plans.</w:t>
      </w:r>
    </w:p>
    <w:p w:rsidR="00DE44B5" w:rsidRDefault="00DE44B5" w:rsidP="00BF7705">
      <w:pPr>
        <w:ind w:left="720"/>
        <w:jc w:val="both"/>
      </w:pPr>
    </w:p>
    <w:p w:rsidR="00FE0C0D" w:rsidRPr="00FE0C0D" w:rsidRDefault="00DE44B5" w:rsidP="00BF7705">
      <w:pPr>
        <w:ind w:left="720"/>
        <w:jc w:val="both"/>
      </w:pPr>
      <w:r>
        <w:t>This process is required as per the MEC Finance’s directive of 2014 whereby approved annual procurement plans must be submitted to Gauteng Provincial Treasury by no later than 31 July annually for reporting and monitoring purposes.</w:t>
      </w:r>
    </w:p>
    <w:p w:rsidR="00DE44B5" w:rsidRDefault="00DE44B5" w:rsidP="004B1D78">
      <w:pPr>
        <w:ind w:left="633"/>
        <w:jc w:val="both"/>
      </w:pPr>
    </w:p>
    <w:p w:rsidR="00151B94" w:rsidRDefault="009E3BB0" w:rsidP="00201DB6">
      <w:pPr>
        <w:ind w:left="633" w:firstLine="87"/>
        <w:jc w:val="both"/>
      </w:pPr>
      <w:r>
        <w:rPr>
          <w:u w:val="single"/>
        </w:rPr>
        <w:t>BUDGET STEERING COMMITTEE</w:t>
      </w:r>
    </w:p>
    <w:p w:rsidR="009E3BB0" w:rsidRDefault="009E3BB0" w:rsidP="004B1D78">
      <w:pPr>
        <w:ind w:left="633"/>
        <w:jc w:val="both"/>
      </w:pPr>
    </w:p>
    <w:p w:rsidR="003A1944" w:rsidRDefault="009E3BB0" w:rsidP="00BF7705">
      <w:pPr>
        <w:ind w:left="720"/>
        <w:jc w:val="both"/>
      </w:pPr>
      <w:r>
        <w:t xml:space="preserve">In terms of the Municipal Budget and Reporting Regulations no. 4, the </w:t>
      </w:r>
      <w:r w:rsidR="00000F9A">
        <w:t>Executive M</w:t>
      </w:r>
      <w:r>
        <w:t xml:space="preserve">ayor must establish a </w:t>
      </w:r>
      <w:r>
        <w:rPr>
          <w:i/>
        </w:rPr>
        <w:t xml:space="preserve">budget steering committee </w:t>
      </w:r>
      <w:r>
        <w:t xml:space="preserve">(Budget Panel) to </w:t>
      </w:r>
      <w:r w:rsidR="00842BAA">
        <w:t xml:space="preserve">provide technical assistance to the </w:t>
      </w:r>
      <w:r w:rsidR="00000F9A">
        <w:t>Executive M</w:t>
      </w:r>
      <w:r w:rsidR="00842BAA">
        <w:t xml:space="preserve">ayor in discharging </w:t>
      </w:r>
      <w:r w:rsidR="00000F9A">
        <w:t>her</w:t>
      </w:r>
      <w:r w:rsidR="00842BAA">
        <w:t xml:space="preserve"> responsibilities as per section 53 MFMA</w:t>
      </w:r>
      <w:r w:rsidR="00655C1D">
        <w:t>. The</w:t>
      </w:r>
      <w:r w:rsidR="00FF2E0D">
        <w:t>MMC: Finance</w:t>
      </w:r>
      <w:r w:rsidR="00655C1D">
        <w:t xml:space="preserve"> together with </w:t>
      </w:r>
      <w:r w:rsidR="00FF2E0D">
        <w:t>the Finance Cluster</w:t>
      </w:r>
      <w:r w:rsidR="00655C1D">
        <w:t xml:space="preserve"> consulted extensively internally during the drafting of this annual budget and as a result, </w:t>
      </w:r>
      <w:r w:rsidR="00F802C3">
        <w:t>present</w:t>
      </w:r>
      <w:r w:rsidR="00F019B3">
        <w:t>ed</w:t>
      </w:r>
      <w:r w:rsidR="00F802C3">
        <w:t xml:space="preserve"> to the Executive Mayor with a budget that is aligned to the strategic objectives of Council’s IDP as well as conformed to MFMA requirements.</w:t>
      </w:r>
      <w:r w:rsidR="00F019B3">
        <w:t>Council would have noted</w:t>
      </w:r>
      <w:r w:rsidR="00FF2E0D">
        <w:t xml:space="preserve"> that </w:t>
      </w:r>
      <w:r w:rsidR="00F019B3">
        <w:t>thedraft tabled</w:t>
      </w:r>
      <w:r w:rsidR="00FF2E0D">
        <w:t xml:space="preserve"> 2017/2018 MTREF </w:t>
      </w:r>
      <w:r w:rsidR="00F019B3">
        <w:t>was not</w:t>
      </w:r>
      <w:r w:rsidR="00FF2E0D">
        <w:t xml:space="preserve"> balanced, and </w:t>
      </w:r>
      <w:r w:rsidR="00F019B3">
        <w:t>after exploring various options</w:t>
      </w:r>
      <w:r w:rsidR="00BC7D96">
        <w:t xml:space="preserve">, it was proposed thatCouncil consider the option of applying for an overdraft credit facility with the municipal bankers, to cover </w:t>
      </w:r>
      <w:r w:rsidR="00F05AF0">
        <w:t xml:space="preserve">a cash shortfall in the operations of the municipality for the 2017/2018 financial year. Of some of the concerns raised by Provincial Treasury during their budget assessment, was the high </w:t>
      </w:r>
      <w:r w:rsidR="00982111">
        <w:t xml:space="preserve">trade creditors at the time of reporting (March 2017). The municipality then indicated to Provincial Treasury during the discussion that there are also high trade debtors, which is directly related to </w:t>
      </w:r>
      <w:r w:rsidR="005819DB">
        <w:t>inter-council indebtedness. Should the municipality, with Provincial Treasury’s support</w:t>
      </w:r>
      <w:r w:rsidR="004571EF">
        <w:t xml:space="preserve">, recover these </w:t>
      </w:r>
      <w:r w:rsidR="004571EF" w:rsidRPr="003A1944">
        <w:rPr>
          <w:i/>
        </w:rPr>
        <w:t>outstanding inter-council indebtedness</w:t>
      </w:r>
      <w:r w:rsidR="004571EF">
        <w:t>, as well as</w:t>
      </w:r>
      <w:r w:rsidR="003A1944">
        <w:t xml:space="preserve"> together</w:t>
      </w:r>
      <w:r w:rsidR="004571EF">
        <w:t xml:space="preserve"> with the </w:t>
      </w:r>
      <w:r w:rsidR="003A1944">
        <w:rPr>
          <w:i/>
        </w:rPr>
        <w:t>cost containment</w:t>
      </w:r>
      <w:r w:rsidR="003A1944">
        <w:t xml:space="preserve"> measures, the municipality would experience a cash flow injection, hence, reducing the necessity to utilise the overdraft credit facility. </w:t>
      </w:r>
    </w:p>
    <w:p w:rsidR="003A1944" w:rsidRDefault="003A1944" w:rsidP="00BF7705">
      <w:pPr>
        <w:ind w:left="720"/>
        <w:jc w:val="both"/>
      </w:pPr>
    </w:p>
    <w:p w:rsidR="00BC7D96" w:rsidRDefault="003A1944" w:rsidP="00BF7705">
      <w:pPr>
        <w:ind w:left="720"/>
        <w:jc w:val="both"/>
      </w:pPr>
      <w:r>
        <w:t xml:space="preserve">It must be further noted by Council that this overdraft credit facility is subject to the stringent requirements of </w:t>
      </w:r>
      <w:r w:rsidR="00AB1A7E">
        <w:t>MFMA section 45, and is for the provision of short-term debt purposes only.</w:t>
      </w:r>
      <w:r w:rsidR="004A39AB">
        <w:t xml:space="preserve"> The municipality may only exercise the overdraft credit facility by way of a resolution of the municipal council, signed by the Executive Mayor, has approved the debt agreement; and the accounting officer has signed the agreement which creates or acknowledges the debt.</w:t>
      </w:r>
    </w:p>
    <w:p w:rsidR="009176A0" w:rsidRDefault="009176A0" w:rsidP="00BF7705">
      <w:pPr>
        <w:ind w:left="720"/>
        <w:jc w:val="both"/>
      </w:pPr>
    </w:p>
    <w:p w:rsidR="009176A0" w:rsidRDefault="009176A0" w:rsidP="00BF7705">
      <w:pPr>
        <w:ind w:left="720"/>
        <w:jc w:val="both"/>
      </w:pPr>
    </w:p>
    <w:p w:rsidR="009176A0" w:rsidRDefault="009176A0" w:rsidP="00BF7705">
      <w:pPr>
        <w:ind w:left="720"/>
        <w:jc w:val="both"/>
      </w:pPr>
    </w:p>
    <w:p w:rsidR="009176A0" w:rsidRDefault="009176A0" w:rsidP="00BF7705">
      <w:pPr>
        <w:ind w:left="720"/>
        <w:jc w:val="both"/>
      </w:pPr>
    </w:p>
    <w:p w:rsidR="009176A0" w:rsidRDefault="009176A0" w:rsidP="00BF7705">
      <w:pPr>
        <w:ind w:left="720"/>
        <w:jc w:val="both"/>
      </w:pPr>
    </w:p>
    <w:p w:rsidR="009176A0" w:rsidRDefault="009176A0" w:rsidP="00BF7705">
      <w:pPr>
        <w:ind w:left="720"/>
        <w:jc w:val="both"/>
      </w:pPr>
    </w:p>
    <w:p w:rsidR="009176A0" w:rsidRDefault="009176A0" w:rsidP="00BF7705">
      <w:pPr>
        <w:ind w:left="720"/>
        <w:jc w:val="both"/>
      </w:pPr>
    </w:p>
    <w:p w:rsidR="009176A0" w:rsidRDefault="009176A0" w:rsidP="00BF7705">
      <w:pPr>
        <w:ind w:left="720"/>
        <w:jc w:val="both"/>
      </w:pPr>
    </w:p>
    <w:p w:rsidR="00AB1A7E" w:rsidRDefault="00AB1A7E" w:rsidP="00956617">
      <w:pPr>
        <w:ind w:left="1440"/>
        <w:jc w:val="both"/>
      </w:pPr>
    </w:p>
    <w:p w:rsidR="00956617" w:rsidRDefault="00956617" w:rsidP="00956617">
      <w:pPr>
        <w:ind w:left="1440"/>
        <w:jc w:val="both"/>
      </w:pPr>
    </w:p>
    <w:p w:rsidR="00AB1A7E" w:rsidRPr="008611C9" w:rsidRDefault="00AB1A7E" w:rsidP="00AB1A7E">
      <w:pPr>
        <w:jc w:val="center"/>
        <w:outlineLvl w:val="0"/>
        <w:rPr>
          <w:b/>
          <w:i/>
          <w:lang w:val="en-ZA"/>
        </w:rPr>
      </w:pPr>
      <w:r w:rsidRPr="008611C9">
        <w:rPr>
          <w:b/>
          <w:i/>
          <w:lang w:val="en-ZA"/>
        </w:rPr>
        <w:lastRenderedPageBreak/>
        <w:t>CHAPTER 6</w:t>
      </w:r>
    </w:p>
    <w:p w:rsidR="00AB1A7E" w:rsidRPr="008611C9" w:rsidRDefault="00AB1A7E" w:rsidP="00AB1A7E">
      <w:pPr>
        <w:jc w:val="center"/>
        <w:outlineLvl w:val="0"/>
        <w:rPr>
          <w:b/>
          <w:i/>
          <w:lang w:val="en-ZA"/>
        </w:rPr>
      </w:pPr>
      <w:r w:rsidRPr="008611C9">
        <w:rPr>
          <w:b/>
          <w:i/>
          <w:lang w:val="en-ZA"/>
        </w:rPr>
        <w:t>DEBT</w:t>
      </w:r>
    </w:p>
    <w:p w:rsidR="00AB1A7E" w:rsidRPr="008611C9" w:rsidRDefault="00AB1A7E" w:rsidP="00AB1A7E">
      <w:pPr>
        <w:jc w:val="both"/>
        <w:outlineLvl w:val="0"/>
        <w:rPr>
          <w:b/>
          <w:i/>
          <w:lang w:val="en-ZA"/>
        </w:rPr>
      </w:pPr>
    </w:p>
    <w:p w:rsidR="00AB1A7E" w:rsidRDefault="00956617" w:rsidP="00AB1A7E">
      <w:pPr>
        <w:jc w:val="both"/>
        <w:outlineLvl w:val="0"/>
        <w:rPr>
          <w:b/>
          <w:i/>
          <w:lang w:val="en-ZA"/>
        </w:rPr>
      </w:pPr>
      <w:r>
        <w:rPr>
          <w:b/>
          <w:i/>
          <w:lang w:val="en-ZA"/>
        </w:rPr>
        <w:tab/>
      </w:r>
      <w:r>
        <w:rPr>
          <w:b/>
          <w:i/>
          <w:lang w:val="en-ZA"/>
        </w:rPr>
        <w:tab/>
      </w:r>
      <w:r w:rsidR="00AB1A7E" w:rsidRPr="008611C9">
        <w:rPr>
          <w:b/>
          <w:i/>
          <w:lang w:val="en-ZA"/>
        </w:rPr>
        <w:t>Short-term debt</w:t>
      </w:r>
    </w:p>
    <w:p w:rsidR="00AB1A7E" w:rsidRPr="008611C9" w:rsidRDefault="00AB1A7E" w:rsidP="00AB1A7E">
      <w:pPr>
        <w:jc w:val="both"/>
        <w:outlineLvl w:val="0"/>
        <w:rPr>
          <w:i/>
          <w:lang w:val="en-ZA"/>
        </w:rPr>
      </w:pPr>
    </w:p>
    <w:p w:rsidR="00AB1A7E" w:rsidRDefault="00956617" w:rsidP="00AB1A7E">
      <w:pPr>
        <w:ind w:left="709" w:hanging="709"/>
        <w:jc w:val="both"/>
        <w:outlineLvl w:val="0"/>
        <w:rPr>
          <w:i/>
          <w:lang w:val="en-ZA"/>
        </w:rPr>
      </w:pPr>
      <w:r>
        <w:rPr>
          <w:i/>
          <w:lang w:val="en-ZA"/>
        </w:rPr>
        <w:tab/>
      </w:r>
      <w:r>
        <w:rPr>
          <w:i/>
          <w:lang w:val="en-ZA"/>
        </w:rPr>
        <w:tab/>
      </w:r>
      <w:r>
        <w:rPr>
          <w:i/>
          <w:lang w:val="en-ZA"/>
        </w:rPr>
        <w:tab/>
      </w:r>
      <w:r w:rsidR="00AB1A7E" w:rsidRPr="008611C9">
        <w:rPr>
          <w:i/>
          <w:lang w:val="en-ZA"/>
        </w:rPr>
        <w:t xml:space="preserve">45. (1) </w:t>
      </w:r>
      <w:r>
        <w:rPr>
          <w:i/>
          <w:lang w:val="en-ZA"/>
        </w:rPr>
        <w:tab/>
      </w:r>
      <w:r w:rsidR="00AB1A7E" w:rsidRPr="008611C9">
        <w:rPr>
          <w:i/>
          <w:lang w:val="en-ZA"/>
        </w:rPr>
        <w:t xml:space="preserve">A municipality may incur short-term debt only in accordance with and </w:t>
      </w:r>
      <w:r>
        <w:rPr>
          <w:i/>
          <w:lang w:val="en-ZA"/>
        </w:rPr>
        <w:tab/>
      </w:r>
      <w:r>
        <w:rPr>
          <w:i/>
          <w:lang w:val="en-ZA"/>
        </w:rPr>
        <w:tab/>
      </w:r>
      <w:r>
        <w:rPr>
          <w:i/>
          <w:lang w:val="en-ZA"/>
        </w:rPr>
        <w:tab/>
      </w:r>
      <w:r w:rsidR="00AB1A7E" w:rsidRPr="008611C9">
        <w:rPr>
          <w:i/>
          <w:lang w:val="en-ZA"/>
        </w:rPr>
        <w:t xml:space="preserve">subject to the provisions of this Act and only when necessary to </w:t>
      </w:r>
      <w:r>
        <w:rPr>
          <w:i/>
          <w:lang w:val="en-ZA"/>
        </w:rPr>
        <w:tab/>
      </w:r>
      <w:r>
        <w:rPr>
          <w:i/>
          <w:lang w:val="en-ZA"/>
        </w:rPr>
        <w:tab/>
      </w:r>
      <w:r>
        <w:rPr>
          <w:i/>
          <w:lang w:val="en-ZA"/>
        </w:rPr>
        <w:tab/>
      </w:r>
      <w:r>
        <w:rPr>
          <w:i/>
          <w:lang w:val="en-ZA"/>
        </w:rPr>
        <w:tab/>
      </w:r>
      <w:r w:rsidR="00AB1A7E" w:rsidRPr="008611C9">
        <w:rPr>
          <w:i/>
          <w:lang w:val="en-ZA"/>
        </w:rPr>
        <w:t>bridge</w:t>
      </w:r>
      <w:r>
        <w:rPr>
          <w:i/>
          <w:lang w:val="en-ZA"/>
        </w:rPr>
        <w:t xml:space="preserve"> </w:t>
      </w:r>
      <w:r w:rsidR="00AB1A7E" w:rsidRPr="008611C9">
        <w:rPr>
          <w:i/>
          <w:lang w:val="en-ZA"/>
        </w:rPr>
        <w:t>—</w:t>
      </w:r>
    </w:p>
    <w:p w:rsidR="00956617" w:rsidRPr="008611C9" w:rsidRDefault="00956617" w:rsidP="00AB1A7E">
      <w:pPr>
        <w:ind w:left="709" w:hanging="709"/>
        <w:jc w:val="both"/>
        <w:outlineLvl w:val="0"/>
        <w:rPr>
          <w:i/>
          <w:lang w:val="en-ZA"/>
        </w:rPr>
      </w:pPr>
    </w:p>
    <w:p w:rsidR="00AB1A7E" w:rsidRDefault="00956617" w:rsidP="00AB1A7E">
      <w:pPr>
        <w:ind w:left="993" w:hanging="284"/>
        <w:jc w:val="both"/>
        <w:outlineLvl w:val="0"/>
        <w:rPr>
          <w:i/>
          <w:lang w:val="en-ZA"/>
        </w:rPr>
      </w:pPr>
      <w:r>
        <w:rPr>
          <w:i/>
          <w:lang w:val="en-ZA"/>
        </w:rPr>
        <w:tab/>
      </w:r>
      <w:r>
        <w:rPr>
          <w:i/>
          <w:lang w:val="en-ZA"/>
        </w:rPr>
        <w:tab/>
      </w:r>
      <w:r>
        <w:rPr>
          <w:i/>
          <w:lang w:val="en-ZA"/>
        </w:rPr>
        <w:tab/>
      </w:r>
      <w:r w:rsidR="00AB1A7E" w:rsidRPr="008611C9">
        <w:rPr>
          <w:i/>
          <w:lang w:val="en-ZA"/>
        </w:rPr>
        <w:t>(a)</w:t>
      </w:r>
      <w:r>
        <w:rPr>
          <w:i/>
          <w:lang w:val="en-ZA"/>
        </w:rPr>
        <w:tab/>
      </w:r>
      <w:r w:rsidR="00AB1A7E" w:rsidRPr="008611C9">
        <w:rPr>
          <w:i/>
          <w:lang w:val="en-ZA"/>
        </w:rPr>
        <w:t xml:space="preserve"> shortfalls within a financial year during which the debt is </w:t>
      </w:r>
      <w:r w:rsidR="00372E99">
        <w:rPr>
          <w:i/>
          <w:lang w:val="en-ZA"/>
        </w:rPr>
        <w:tab/>
      </w:r>
      <w:r w:rsidR="00372E99">
        <w:rPr>
          <w:i/>
          <w:lang w:val="en-ZA"/>
        </w:rPr>
        <w:tab/>
      </w:r>
      <w:r w:rsidR="00372E99">
        <w:rPr>
          <w:i/>
          <w:lang w:val="en-ZA"/>
        </w:rPr>
        <w:tab/>
      </w:r>
      <w:r w:rsidR="00372E99">
        <w:rPr>
          <w:i/>
          <w:lang w:val="en-ZA"/>
        </w:rPr>
        <w:tab/>
      </w:r>
      <w:r w:rsidR="00AB1A7E" w:rsidRPr="008611C9">
        <w:rPr>
          <w:i/>
          <w:lang w:val="en-ZA"/>
        </w:rPr>
        <w:t xml:space="preserve">incurred, in expectation of specific and realistic anticipated </w:t>
      </w:r>
      <w:r w:rsidR="00372E99">
        <w:rPr>
          <w:i/>
          <w:lang w:val="en-ZA"/>
        </w:rPr>
        <w:tab/>
      </w:r>
      <w:r w:rsidR="00372E99">
        <w:rPr>
          <w:i/>
          <w:lang w:val="en-ZA"/>
        </w:rPr>
        <w:tab/>
      </w:r>
      <w:r w:rsidR="00372E99">
        <w:rPr>
          <w:i/>
          <w:lang w:val="en-ZA"/>
        </w:rPr>
        <w:tab/>
      </w:r>
      <w:r w:rsidR="00AB1A7E" w:rsidRPr="008611C9">
        <w:rPr>
          <w:i/>
          <w:lang w:val="en-ZA"/>
        </w:rPr>
        <w:t>income to be received within that financial year; or</w:t>
      </w:r>
    </w:p>
    <w:p w:rsidR="00372E99" w:rsidRPr="008611C9" w:rsidRDefault="00372E99" w:rsidP="00AB1A7E">
      <w:pPr>
        <w:ind w:left="993" w:hanging="284"/>
        <w:jc w:val="both"/>
        <w:outlineLvl w:val="0"/>
        <w:rPr>
          <w:i/>
          <w:lang w:val="en-ZA"/>
        </w:rPr>
      </w:pPr>
    </w:p>
    <w:p w:rsidR="00AB1A7E" w:rsidRPr="008611C9" w:rsidRDefault="00372E99" w:rsidP="00AB1A7E">
      <w:pPr>
        <w:ind w:left="993" w:hanging="284"/>
        <w:jc w:val="both"/>
        <w:outlineLvl w:val="0"/>
        <w:rPr>
          <w:i/>
          <w:lang w:val="en-ZA"/>
        </w:rPr>
      </w:pPr>
      <w:r>
        <w:rPr>
          <w:i/>
          <w:lang w:val="en-ZA"/>
        </w:rPr>
        <w:tab/>
      </w:r>
      <w:r>
        <w:rPr>
          <w:i/>
          <w:lang w:val="en-ZA"/>
        </w:rPr>
        <w:tab/>
      </w:r>
      <w:r>
        <w:rPr>
          <w:i/>
          <w:lang w:val="en-ZA"/>
        </w:rPr>
        <w:tab/>
      </w:r>
      <w:r w:rsidR="00AB1A7E" w:rsidRPr="008611C9">
        <w:rPr>
          <w:i/>
          <w:lang w:val="en-ZA"/>
        </w:rPr>
        <w:t xml:space="preserve">(b) </w:t>
      </w:r>
      <w:r>
        <w:rPr>
          <w:i/>
          <w:lang w:val="en-ZA"/>
        </w:rPr>
        <w:tab/>
      </w:r>
      <w:r w:rsidR="00AB1A7E" w:rsidRPr="008611C9">
        <w:rPr>
          <w:i/>
          <w:lang w:val="en-ZA"/>
        </w:rPr>
        <w:t xml:space="preserve">capital needs within a financial year, to be repaid from specific </w:t>
      </w:r>
      <w:r>
        <w:rPr>
          <w:i/>
          <w:lang w:val="en-ZA"/>
        </w:rPr>
        <w:tab/>
      </w:r>
      <w:r>
        <w:rPr>
          <w:i/>
          <w:lang w:val="en-ZA"/>
        </w:rPr>
        <w:tab/>
      </w:r>
      <w:r>
        <w:rPr>
          <w:i/>
          <w:lang w:val="en-ZA"/>
        </w:rPr>
        <w:tab/>
      </w:r>
      <w:r w:rsidR="00AB1A7E" w:rsidRPr="008611C9">
        <w:rPr>
          <w:i/>
          <w:lang w:val="en-ZA"/>
        </w:rPr>
        <w:t xml:space="preserve">funds to be received from enforceable allocations or long-term </w:t>
      </w:r>
      <w:r>
        <w:rPr>
          <w:i/>
          <w:lang w:val="en-ZA"/>
        </w:rPr>
        <w:tab/>
      </w:r>
      <w:r>
        <w:rPr>
          <w:i/>
          <w:lang w:val="en-ZA"/>
        </w:rPr>
        <w:tab/>
      </w:r>
      <w:r>
        <w:rPr>
          <w:i/>
          <w:lang w:val="en-ZA"/>
        </w:rPr>
        <w:tab/>
      </w:r>
      <w:r w:rsidR="00AB1A7E" w:rsidRPr="008611C9">
        <w:rPr>
          <w:i/>
          <w:lang w:val="en-ZA"/>
        </w:rPr>
        <w:t>debt commitments.</w:t>
      </w:r>
    </w:p>
    <w:p w:rsidR="00AB1A7E" w:rsidRPr="008611C9" w:rsidRDefault="00AB1A7E" w:rsidP="00AB1A7E">
      <w:pPr>
        <w:ind w:left="993" w:hanging="284"/>
        <w:jc w:val="both"/>
        <w:outlineLvl w:val="0"/>
        <w:rPr>
          <w:i/>
          <w:lang w:val="en-ZA"/>
        </w:rPr>
      </w:pPr>
    </w:p>
    <w:p w:rsidR="00AB1A7E" w:rsidRDefault="00372E99" w:rsidP="00AB1A7E">
      <w:pPr>
        <w:ind w:left="426"/>
        <w:jc w:val="both"/>
        <w:outlineLvl w:val="0"/>
        <w:rPr>
          <w:i/>
          <w:lang w:val="en-ZA"/>
        </w:rPr>
      </w:pPr>
      <w:r>
        <w:rPr>
          <w:i/>
          <w:lang w:val="en-ZA"/>
        </w:rPr>
        <w:tab/>
      </w:r>
      <w:r>
        <w:rPr>
          <w:i/>
          <w:lang w:val="en-ZA"/>
        </w:rPr>
        <w:tab/>
      </w:r>
      <w:r w:rsidR="002A097C">
        <w:rPr>
          <w:i/>
          <w:lang w:val="en-ZA"/>
        </w:rPr>
        <w:t xml:space="preserve">   </w:t>
      </w:r>
      <w:r w:rsidR="00AB1A7E" w:rsidRPr="008611C9">
        <w:rPr>
          <w:i/>
          <w:lang w:val="en-ZA"/>
        </w:rPr>
        <w:t xml:space="preserve">(2) </w:t>
      </w:r>
      <w:r>
        <w:rPr>
          <w:i/>
          <w:lang w:val="en-ZA"/>
        </w:rPr>
        <w:tab/>
      </w:r>
      <w:r w:rsidR="00AB1A7E" w:rsidRPr="008611C9">
        <w:rPr>
          <w:i/>
          <w:lang w:val="en-ZA"/>
        </w:rPr>
        <w:t>A municipality may incur short-term debt only if</w:t>
      </w:r>
      <w:r>
        <w:rPr>
          <w:i/>
          <w:lang w:val="en-ZA"/>
        </w:rPr>
        <w:t xml:space="preserve"> </w:t>
      </w:r>
      <w:r w:rsidR="00AB1A7E" w:rsidRPr="008611C9">
        <w:rPr>
          <w:i/>
          <w:lang w:val="en-ZA"/>
        </w:rPr>
        <w:t>—</w:t>
      </w:r>
    </w:p>
    <w:p w:rsidR="00372E99" w:rsidRPr="008611C9" w:rsidRDefault="00372E99" w:rsidP="00AB1A7E">
      <w:pPr>
        <w:ind w:left="426"/>
        <w:jc w:val="both"/>
        <w:outlineLvl w:val="0"/>
        <w:rPr>
          <w:i/>
          <w:lang w:val="en-ZA"/>
        </w:rPr>
      </w:pPr>
    </w:p>
    <w:p w:rsidR="00AB1A7E" w:rsidRDefault="00372E99" w:rsidP="00AB1A7E">
      <w:pPr>
        <w:ind w:left="1134" w:hanging="414"/>
        <w:jc w:val="both"/>
        <w:outlineLvl w:val="0"/>
        <w:rPr>
          <w:i/>
          <w:lang w:val="en-ZA"/>
        </w:rPr>
      </w:pPr>
      <w:r>
        <w:rPr>
          <w:i/>
          <w:lang w:val="en-ZA"/>
        </w:rPr>
        <w:tab/>
      </w:r>
      <w:r>
        <w:rPr>
          <w:i/>
          <w:lang w:val="en-ZA"/>
        </w:rPr>
        <w:tab/>
      </w:r>
      <w:r>
        <w:rPr>
          <w:i/>
          <w:lang w:val="en-ZA"/>
        </w:rPr>
        <w:tab/>
      </w:r>
      <w:r w:rsidR="00AB1A7E" w:rsidRPr="008611C9">
        <w:rPr>
          <w:i/>
          <w:lang w:val="en-ZA"/>
        </w:rPr>
        <w:t xml:space="preserve">(a) </w:t>
      </w:r>
      <w:r>
        <w:rPr>
          <w:i/>
          <w:lang w:val="en-ZA"/>
        </w:rPr>
        <w:tab/>
      </w:r>
      <w:r w:rsidR="00AB1A7E" w:rsidRPr="008611C9">
        <w:rPr>
          <w:i/>
          <w:lang w:val="en-ZA"/>
        </w:rPr>
        <w:t xml:space="preserve">a resolution of the municipal council, signed by the mayor, has </w:t>
      </w:r>
      <w:r>
        <w:rPr>
          <w:i/>
          <w:lang w:val="en-ZA"/>
        </w:rPr>
        <w:tab/>
      </w:r>
      <w:r>
        <w:rPr>
          <w:i/>
          <w:lang w:val="en-ZA"/>
        </w:rPr>
        <w:tab/>
      </w:r>
      <w:r>
        <w:rPr>
          <w:i/>
          <w:lang w:val="en-ZA"/>
        </w:rPr>
        <w:tab/>
      </w:r>
      <w:r w:rsidR="00AB1A7E" w:rsidRPr="008611C9">
        <w:rPr>
          <w:i/>
          <w:lang w:val="en-ZA"/>
        </w:rPr>
        <w:t>approved the debt agreement; and</w:t>
      </w:r>
    </w:p>
    <w:p w:rsidR="00372E99" w:rsidRPr="008611C9" w:rsidRDefault="00372E99" w:rsidP="00AB1A7E">
      <w:pPr>
        <w:ind w:left="1134" w:hanging="414"/>
        <w:jc w:val="both"/>
        <w:outlineLvl w:val="0"/>
        <w:rPr>
          <w:i/>
          <w:lang w:val="en-ZA"/>
        </w:rPr>
      </w:pPr>
    </w:p>
    <w:p w:rsidR="00AB1A7E" w:rsidRDefault="00372E99" w:rsidP="00AB1A7E">
      <w:pPr>
        <w:ind w:left="1134" w:hanging="414"/>
        <w:jc w:val="both"/>
        <w:outlineLvl w:val="0"/>
        <w:rPr>
          <w:i/>
          <w:lang w:val="en-ZA"/>
        </w:rPr>
      </w:pPr>
      <w:r>
        <w:rPr>
          <w:i/>
          <w:lang w:val="en-ZA"/>
        </w:rPr>
        <w:tab/>
      </w:r>
      <w:r>
        <w:rPr>
          <w:i/>
          <w:lang w:val="en-ZA"/>
        </w:rPr>
        <w:tab/>
      </w:r>
      <w:r>
        <w:rPr>
          <w:i/>
          <w:lang w:val="en-ZA"/>
        </w:rPr>
        <w:tab/>
      </w:r>
      <w:r w:rsidR="00AB1A7E" w:rsidRPr="008611C9">
        <w:rPr>
          <w:i/>
          <w:lang w:val="en-ZA"/>
        </w:rPr>
        <w:t>(b)</w:t>
      </w:r>
      <w:r>
        <w:rPr>
          <w:i/>
          <w:lang w:val="en-ZA"/>
        </w:rPr>
        <w:tab/>
      </w:r>
      <w:r w:rsidR="00AB1A7E" w:rsidRPr="008611C9">
        <w:rPr>
          <w:i/>
          <w:lang w:val="en-ZA"/>
        </w:rPr>
        <w:t xml:space="preserve"> the accounting officer has signed the agreement or other </w:t>
      </w:r>
      <w:r>
        <w:rPr>
          <w:i/>
          <w:lang w:val="en-ZA"/>
        </w:rPr>
        <w:tab/>
      </w:r>
      <w:r>
        <w:rPr>
          <w:i/>
          <w:lang w:val="en-ZA"/>
        </w:rPr>
        <w:tab/>
      </w:r>
      <w:r>
        <w:rPr>
          <w:i/>
          <w:lang w:val="en-ZA"/>
        </w:rPr>
        <w:tab/>
      </w:r>
      <w:r>
        <w:rPr>
          <w:i/>
          <w:lang w:val="en-ZA"/>
        </w:rPr>
        <w:tab/>
      </w:r>
      <w:r w:rsidR="00AB1A7E" w:rsidRPr="008611C9">
        <w:rPr>
          <w:i/>
          <w:lang w:val="en-ZA"/>
        </w:rPr>
        <w:t>document which creates or acknowledges the debt.</w:t>
      </w:r>
    </w:p>
    <w:p w:rsidR="00AB1A7E" w:rsidRPr="008611C9" w:rsidRDefault="00AB1A7E" w:rsidP="00AB1A7E">
      <w:pPr>
        <w:ind w:left="1134" w:hanging="414"/>
        <w:jc w:val="both"/>
        <w:outlineLvl w:val="0"/>
        <w:rPr>
          <w:i/>
          <w:lang w:val="en-ZA"/>
        </w:rPr>
      </w:pPr>
    </w:p>
    <w:p w:rsidR="00AB1A7E" w:rsidRDefault="00372E99" w:rsidP="00AB1A7E">
      <w:pPr>
        <w:ind w:left="426"/>
        <w:jc w:val="both"/>
        <w:outlineLvl w:val="0"/>
        <w:rPr>
          <w:i/>
          <w:lang w:val="en-ZA"/>
        </w:rPr>
      </w:pPr>
      <w:r>
        <w:rPr>
          <w:i/>
          <w:lang w:val="en-ZA"/>
        </w:rPr>
        <w:tab/>
      </w:r>
      <w:r>
        <w:rPr>
          <w:i/>
          <w:lang w:val="en-ZA"/>
        </w:rPr>
        <w:tab/>
      </w:r>
      <w:r w:rsidR="002A097C">
        <w:rPr>
          <w:i/>
          <w:lang w:val="en-ZA"/>
        </w:rPr>
        <w:t xml:space="preserve">  </w:t>
      </w:r>
      <w:r w:rsidR="00AB1A7E" w:rsidRPr="008611C9">
        <w:rPr>
          <w:i/>
          <w:lang w:val="en-ZA"/>
        </w:rPr>
        <w:t xml:space="preserve">(3) </w:t>
      </w:r>
      <w:r>
        <w:rPr>
          <w:i/>
          <w:lang w:val="en-ZA"/>
        </w:rPr>
        <w:tab/>
      </w:r>
      <w:r w:rsidR="00AB1A7E" w:rsidRPr="008611C9">
        <w:rPr>
          <w:i/>
          <w:lang w:val="en-ZA"/>
        </w:rPr>
        <w:t>For the purpose of subsection (2)(a), a municipal council may</w:t>
      </w:r>
      <w:r>
        <w:rPr>
          <w:i/>
          <w:lang w:val="en-ZA"/>
        </w:rPr>
        <w:t xml:space="preserve"> </w:t>
      </w:r>
      <w:r w:rsidR="00AB1A7E" w:rsidRPr="008611C9">
        <w:rPr>
          <w:i/>
          <w:lang w:val="en-ZA"/>
        </w:rPr>
        <w:t>—</w:t>
      </w:r>
    </w:p>
    <w:p w:rsidR="00372E99" w:rsidRPr="008611C9" w:rsidRDefault="00372E99" w:rsidP="00AB1A7E">
      <w:pPr>
        <w:ind w:left="426"/>
        <w:jc w:val="both"/>
        <w:outlineLvl w:val="0"/>
        <w:rPr>
          <w:i/>
          <w:lang w:val="en-ZA"/>
        </w:rPr>
      </w:pPr>
    </w:p>
    <w:p w:rsidR="00AB1A7E" w:rsidRDefault="00372E99" w:rsidP="00AB1A7E">
      <w:pPr>
        <w:ind w:left="1134" w:hanging="414"/>
        <w:jc w:val="both"/>
        <w:outlineLvl w:val="0"/>
        <w:rPr>
          <w:i/>
          <w:lang w:val="en-ZA"/>
        </w:rPr>
      </w:pPr>
      <w:r>
        <w:rPr>
          <w:i/>
          <w:lang w:val="en-ZA"/>
        </w:rPr>
        <w:tab/>
      </w:r>
      <w:r>
        <w:rPr>
          <w:i/>
          <w:lang w:val="en-ZA"/>
        </w:rPr>
        <w:tab/>
      </w:r>
      <w:r>
        <w:rPr>
          <w:i/>
          <w:lang w:val="en-ZA"/>
        </w:rPr>
        <w:tab/>
      </w:r>
      <w:r w:rsidR="00AB1A7E" w:rsidRPr="008611C9">
        <w:rPr>
          <w:i/>
          <w:lang w:val="en-ZA"/>
        </w:rPr>
        <w:t xml:space="preserve">(a) </w:t>
      </w:r>
      <w:r>
        <w:rPr>
          <w:i/>
          <w:lang w:val="en-ZA"/>
        </w:rPr>
        <w:tab/>
      </w:r>
      <w:r w:rsidR="00AB1A7E" w:rsidRPr="008611C9">
        <w:rPr>
          <w:i/>
          <w:lang w:val="en-ZA"/>
        </w:rPr>
        <w:t>approve a short-term debt transaction individually; or</w:t>
      </w:r>
    </w:p>
    <w:p w:rsidR="00372E99" w:rsidRPr="008611C9" w:rsidRDefault="00372E99" w:rsidP="00AB1A7E">
      <w:pPr>
        <w:ind w:left="1134" w:hanging="414"/>
        <w:jc w:val="both"/>
        <w:outlineLvl w:val="0"/>
        <w:rPr>
          <w:i/>
          <w:lang w:val="en-ZA"/>
        </w:rPr>
      </w:pPr>
    </w:p>
    <w:p w:rsidR="00AB1A7E" w:rsidRPr="008611C9" w:rsidRDefault="00372E99" w:rsidP="00AB1A7E">
      <w:pPr>
        <w:ind w:left="1134" w:hanging="414"/>
        <w:jc w:val="both"/>
        <w:outlineLvl w:val="0"/>
        <w:rPr>
          <w:i/>
          <w:lang w:val="en-ZA"/>
        </w:rPr>
      </w:pPr>
      <w:r>
        <w:rPr>
          <w:i/>
          <w:lang w:val="en-ZA"/>
        </w:rPr>
        <w:tab/>
      </w:r>
      <w:r>
        <w:rPr>
          <w:i/>
          <w:lang w:val="en-ZA"/>
        </w:rPr>
        <w:tab/>
      </w:r>
      <w:r>
        <w:rPr>
          <w:i/>
          <w:lang w:val="en-ZA"/>
        </w:rPr>
        <w:tab/>
      </w:r>
      <w:r w:rsidR="00AB1A7E" w:rsidRPr="008611C9">
        <w:rPr>
          <w:i/>
          <w:lang w:val="en-ZA"/>
        </w:rPr>
        <w:t>(b)</w:t>
      </w:r>
      <w:r>
        <w:rPr>
          <w:i/>
          <w:lang w:val="en-ZA"/>
        </w:rPr>
        <w:tab/>
      </w:r>
      <w:r w:rsidR="00AB1A7E" w:rsidRPr="008611C9">
        <w:rPr>
          <w:i/>
          <w:lang w:val="en-ZA"/>
        </w:rPr>
        <w:t xml:space="preserve"> approve an agreement with a lender for a short-term credit </w:t>
      </w:r>
      <w:r>
        <w:rPr>
          <w:i/>
          <w:lang w:val="en-ZA"/>
        </w:rPr>
        <w:tab/>
      </w:r>
      <w:r>
        <w:rPr>
          <w:i/>
          <w:lang w:val="en-ZA"/>
        </w:rPr>
        <w:tab/>
      </w:r>
      <w:r>
        <w:rPr>
          <w:i/>
          <w:lang w:val="en-ZA"/>
        </w:rPr>
        <w:tab/>
      </w:r>
      <w:r w:rsidR="00AB1A7E" w:rsidRPr="008611C9">
        <w:rPr>
          <w:i/>
          <w:lang w:val="en-ZA"/>
        </w:rPr>
        <w:t xml:space="preserve">facility to be accessed as and when required, including a line </w:t>
      </w:r>
      <w:r>
        <w:rPr>
          <w:i/>
          <w:lang w:val="en-ZA"/>
        </w:rPr>
        <w:tab/>
      </w:r>
      <w:r>
        <w:rPr>
          <w:i/>
          <w:lang w:val="en-ZA"/>
        </w:rPr>
        <w:tab/>
      </w:r>
      <w:r>
        <w:rPr>
          <w:i/>
          <w:lang w:val="en-ZA"/>
        </w:rPr>
        <w:tab/>
      </w:r>
      <w:r w:rsidR="00AB1A7E" w:rsidRPr="008611C9">
        <w:rPr>
          <w:i/>
          <w:lang w:val="en-ZA"/>
        </w:rPr>
        <w:t>of credit or bank overdraft facility, provided that</w:t>
      </w:r>
      <w:r w:rsidR="00542040">
        <w:rPr>
          <w:i/>
          <w:lang w:val="en-ZA"/>
        </w:rPr>
        <w:tab/>
      </w:r>
      <w:r w:rsidR="00AB1A7E" w:rsidRPr="008611C9">
        <w:rPr>
          <w:i/>
          <w:lang w:val="en-ZA"/>
        </w:rPr>
        <w:t>—</w:t>
      </w:r>
    </w:p>
    <w:p w:rsidR="00AB1A7E" w:rsidRPr="008611C9" w:rsidRDefault="00AB1A7E" w:rsidP="00AB1A7E">
      <w:pPr>
        <w:ind w:left="1134" w:hanging="414"/>
        <w:jc w:val="both"/>
        <w:outlineLvl w:val="0"/>
        <w:rPr>
          <w:i/>
          <w:lang w:val="en-ZA"/>
        </w:rPr>
      </w:pPr>
    </w:p>
    <w:p w:rsidR="00AB1A7E" w:rsidRPr="008611C9" w:rsidRDefault="00AB1A7E" w:rsidP="00542040">
      <w:pPr>
        <w:numPr>
          <w:ilvl w:val="0"/>
          <w:numId w:val="8"/>
        </w:numPr>
        <w:ind w:left="1843" w:firstLine="1037"/>
        <w:jc w:val="both"/>
        <w:outlineLvl w:val="0"/>
        <w:rPr>
          <w:i/>
          <w:lang w:val="en-ZA"/>
        </w:rPr>
      </w:pPr>
      <w:r w:rsidRPr="008611C9">
        <w:rPr>
          <w:i/>
          <w:lang w:val="en-ZA"/>
        </w:rPr>
        <w:t xml:space="preserve">the credit limit must be specified in the resolution of the </w:t>
      </w:r>
      <w:r w:rsidR="00542040">
        <w:rPr>
          <w:i/>
          <w:lang w:val="en-ZA"/>
        </w:rPr>
        <w:tab/>
      </w:r>
      <w:r w:rsidR="00542040">
        <w:rPr>
          <w:i/>
          <w:lang w:val="en-ZA"/>
        </w:rPr>
        <w:tab/>
      </w:r>
      <w:r w:rsidR="00542040">
        <w:rPr>
          <w:i/>
          <w:lang w:val="en-ZA"/>
        </w:rPr>
        <w:tab/>
      </w:r>
      <w:r w:rsidRPr="008611C9">
        <w:rPr>
          <w:i/>
          <w:lang w:val="en-ZA"/>
        </w:rPr>
        <w:t>council;</w:t>
      </w:r>
    </w:p>
    <w:p w:rsidR="00AB1A7E" w:rsidRPr="008611C9" w:rsidRDefault="00AB1A7E" w:rsidP="00542040">
      <w:pPr>
        <w:numPr>
          <w:ilvl w:val="0"/>
          <w:numId w:val="8"/>
        </w:numPr>
        <w:ind w:firstLine="1026"/>
        <w:jc w:val="both"/>
        <w:outlineLvl w:val="0"/>
        <w:rPr>
          <w:i/>
          <w:lang w:val="en-ZA"/>
        </w:rPr>
      </w:pPr>
      <w:r w:rsidRPr="008611C9">
        <w:rPr>
          <w:i/>
          <w:lang w:val="en-ZA"/>
        </w:rPr>
        <w:t xml:space="preserve">the terms of the agreement, including the credit limit, </w:t>
      </w:r>
      <w:r w:rsidR="00542040">
        <w:rPr>
          <w:i/>
          <w:lang w:val="en-ZA"/>
        </w:rPr>
        <w:tab/>
      </w:r>
      <w:r w:rsidR="00542040">
        <w:rPr>
          <w:i/>
          <w:lang w:val="en-ZA"/>
        </w:rPr>
        <w:tab/>
      </w:r>
      <w:r w:rsidR="00542040">
        <w:rPr>
          <w:i/>
          <w:lang w:val="en-ZA"/>
        </w:rPr>
        <w:tab/>
      </w:r>
      <w:r w:rsidRPr="008611C9">
        <w:rPr>
          <w:i/>
          <w:lang w:val="en-ZA"/>
        </w:rPr>
        <w:t>may be changed only by a resolution of the council; and</w:t>
      </w:r>
    </w:p>
    <w:p w:rsidR="00AB1A7E" w:rsidRDefault="00AB1A7E" w:rsidP="00542040">
      <w:pPr>
        <w:numPr>
          <w:ilvl w:val="0"/>
          <w:numId w:val="8"/>
        </w:numPr>
        <w:ind w:firstLine="1026"/>
        <w:jc w:val="both"/>
        <w:outlineLvl w:val="0"/>
        <w:rPr>
          <w:i/>
          <w:lang w:val="en-ZA"/>
        </w:rPr>
      </w:pPr>
      <w:r w:rsidRPr="008611C9">
        <w:rPr>
          <w:i/>
          <w:lang w:val="en-ZA"/>
        </w:rPr>
        <w:t xml:space="preserve">if the council approves a credit facility that is limited to </w:t>
      </w:r>
      <w:r w:rsidR="00AE4775">
        <w:rPr>
          <w:i/>
          <w:lang w:val="en-ZA"/>
        </w:rPr>
        <w:tab/>
      </w:r>
      <w:r w:rsidR="00AE4775">
        <w:rPr>
          <w:i/>
          <w:lang w:val="en-ZA"/>
        </w:rPr>
        <w:tab/>
      </w:r>
      <w:r w:rsidR="00AE4775">
        <w:rPr>
          <w:i/>
          <w:lang w:val="en-ZA"/>
        </w:rPr>
        <w:tab/>
      </w:r>
      <w:r w:rsidRPr="008611C9">
        <w:rPr>
          <w:i/>
          <w:lang w:val="en-ZA"/>
        </w:rPr>
        <w:t xml:space="preserve">emergency use, the accounting officer must notify the </w:t>
      </w:r>
      <w:r w:rsidR="00AE4775">
        <w:rPr>
          <w:i/>
          <w:lang w:val="en-ZA"/>
        </w:rPr>
        <w:tab/>
      </w:r>
      <w:r w:rsidR="00AE4775">
        <w:rPr>
          <w:i/>
          <w:lang w:val="en-ZA"/>
        </w:rPr>
        <w:tab/>
      </w:r>
      <w:r w:rsidR="00AE4775">
        <w:rPr>
          <w:i/>
          <w:lang w:val="en-ZA"/>
        </w:rPr>
        <w:tab/>
      </w:r>
      <w:r w:rsidRPr="008611C9">
        <w:rPr>
          <w:i/>
          <w:lang w:val="en-ZA"/>
        </w:rPr>
        <w:t xml:space="preserve">council in writing as soon as practical of the amount, </w:t>
      </w:r>
      <w:r w:rsidR="00AE4775">
        <w:rPr>
          <w:i/>
          <w:lang w:val="en-ZA"/>
        </w:rPr>
        <w:tab/>
      </w:r>
      <w:r w:rsidR="00AE4775">
        <w:rPr>
          <w:i/>
          <w:lang w:val="en-ZA"/>
        </w:rPr>
        <w:tab/>
      </w:r>
      <w:r w:rsidR="00AE4775">
        <w:rPr>
          <w:i/>
          <w:lang w:val="en-ZA"/>
        </w:rPr>
        <w:tab/>
      </w:r>
      <w:r w:rsidRPr="008611C9">
        <w:rPr>
          <w:i/>
          <w:lang w:val="en-ZA"/>
        </w:rPr>
        <w:t xml:space="preserve">duration and cost of any debt incurred in terms of such </w:t>
      </w:r>
      <w:r w:rsidR="00AE4775">
        <w:rPr>
          <w:i/>
          <w:lang w:val="en-ZA"/>
        </w:rPr>
        <w:tab/>
      </w:r>
      <w:r w:rsidR="00AE4775">
        <w:rPr>
          <w:i/>
          <w:lang w:val="en-ZA"/>
        </w:rPr>
        <w:tab/>
      </w:r>
      <w:r w:rsidR="00AE4775">
        <w:rPr>
          <w:i/>
          <w:lang w:val="en-ZA"/>
        </w:rPr>
        <w:tab/>
      </w:r>
      <w:r w:rsidRPr="008611C9">
        <w:rPr>
          <w:i/>
          <w:lang w:val="en-ZA"/>
        </w:rPr>
        <w:t xml:space="preserve">a credit facility, as well as options for repaying such </w:t>
      </w:r>
      <w:r w:rsidR="00AE4775">
        <w:rPr>
          <w:i/>
          <w:lang w:val="en-ZA"/>
        </w:rPr>
        <w:tab/>
      </w:r>
      <w:r w:rsidR="00AE4775">
        <w:rPr>
          <w:i/>
          <w:lang w:val="en-ZA"/>
        </w:rPr>
        <w:tab/>
      </w:r>
      <w:r w:rsidR="00AE4775">
        <w:rPr>
          <w:i/>
          <w:lang w:val="en-ZA"/>
        </w:rPr>
        <w:tab/>
      </w:r>
      <w:r w:rsidRPr="008611C9">
        <w:rPr>
          <w:i/>
          <w:lang w:val="en-ZA"/>
        </w:rPr>
        <w:t>debt.</w:t>
      </w:r>
    </w:p>
    <w:p w:rsidR="00AE4775" w:rsidRDefault="00AE4775" w:rsidP="00AE4775">
      <w:pPr>
        <w:jc w:val="both"/>
        <w:outlineLvl w:val="0"/>
        <w:rPr>
          <w:i/>
          <w:lang w:val="en-ZA"/>
        </w:rPr>
      </w:pPr>
    </w:p>
    <w:p w:rsidR="00AE4775" w:rsidRDefault="00AE4775" w:rsidP="00AE4775">
      <w:pPr>
        <w:jc w:val="both"/>
        <w:outlineLvl w:val="0"/>
        <w:rPr>
          <w:i/>
          <w:lang w:val="en-ZA"/>
        </w:rPr>
      </w:pPr>
    </w:p>
    <w:p w:rsidR="00AE4775" w:rsidRDefault="00AE4775" w:rsidP="00AE4775">
      <w:pPr>
        <w:jc w:val="both"/>
        <w:outlineLvl w:val="0"/>
        <w:rPr>
          <w:i/>
          <w:lang w:val="en-ZA"/>
        </w:rPr>
      </w:pPr>
    </w:p>
    <w:p w:rsidR="00AE4775" w:rsidRDefault="00AE4775" w:rsidP="00AE4775">
      <w:pPr>
        <w:jc w:val="both"/>
        <w:outlineLvl w:val="0"/>
        <w:rPr>
          <w:i/>
          <w:lang w:val="en-ZA"/>
        </w:rPr>
      </w:pPr>
    </w:p>
    <w:p w:rsidR="00AE4775" w:rsidRDefault="00AE4775" w:rsidP="00AE4775">
      <w:pPr>
        <w:jc w:val="both"/>
        <w:outlineLvl w:val="0"/>
        <w:rPr>
          <w:i/>
          <w:lang w:val="en-ZA"/>
        </w:rPr>
      </w:pPr>
    </w:p>
    <w:p w:rsidR="00AE4775" w:rsidRPr="008611C9" w:rsidRDefault="00AE4775" w:rsidP="00AE4775">
      <w:pPr>
        <w:jc w:val="both"/>
        <w:outlineLvl w:val="0"/>
        <w:rPr>
          <w:i/>
          <w:lang w:val="en-ZA"/>
        </w:rPr>
      </w:pPr>
    </w:p>
    <w:p w:rsidR="00AB1A7E" w:rsidRPr="008611C9" w:rsidRDefault="00AB1A7E" w:rsidP="00AB1A7E">
      <w:pPr>
        <w:ind w:left="1854"/>
        <w:jc w:val="both"/>
        <w:outlineLvl w:val="0"/>
        <w:rPr>
          <w:i/>
          <w:lang w:val="en-ZA"/>
        </w:rPr>
      </w:pPr>
    </w:p>
    <w:p w:rsidR="00AB1A7E" w:rsidRDefault="00AE4775" w:rsidP="00AB1A7E">
      <w:pPr>
        <w:ind w:left="851" w:hanging="425"/>
        <w:jc w:val="both"/>
        <w:outlineLvl w:val="0"/>
        <w:rPr>
          <w:i/>
          <w:lang w:val="en-ZA"/>
        </w:rPr>
      </w:pPr>
      <w:r>
        <w:rPr>
          <w:i/>
          <w:lang w:val="en-ZA"/>
        </w:rPr>
        <w:lastRenderedPageBreak/>
        <w:tab/>
      </w:r>
      <w:r>
        <w:rPr>
          <w:i/>
          <w:lang w:val="en-ZA"/>
        </w:rPr>
        <w:tab/>
      </w:r>
      <w:r w:rsidR="002A097C">
        <w:rPr>
          <w:i/>
          <w:lang w:val="en-ZA"/>
        </w:rPr>
        <w:t xml:space="preserve">  </w:t>
      </w:r>
      <w:r w:rsidR="00AB1A7E" w:rsidRPr="008611C9">
        <w:rPr>
          <w:i/>
          <w:lang w:val="en-ZA"/>
        </w:rPr>
        <w:t>(4)</w:t>
      </w:r>
      <w:r>
        <w:rPr>
          <w:i/>
          <w:lang w:val="en-ZA"/>
        </w:rPr>
        <w:tab/>
      </w:r>
      <w:r w:rsidR="00AB1A7E" w:rsidRPr="008611C9">
        <w:rPr>
          <w:i/>
          <w:lang w:val="en-ZA"/>
        </w:rPr>
        <w:t xml:space="preserve"> A municipality</w:t>
      </w:r>
      <w:r w:rsidR="00221B2F">
        <w:rPr>
          <w:i/>
          <w:lang w:val="en-ZA"/>
        </w:rPr>
        <w:t xml:space="preserve"> </w:t>
      </w:r>
      <w:r w:rsidR="00AB1A7E" w:rsidRPr="008611C9">
        <w:rPr>
          <w:i/>
          <w:lang w:val="en-ZA"/>
        </w:rPr>
        <w:t>—</w:t>
      </w:r>
    </w:p>
    <w:p w:rsidR="00AE4775" w:rsidRPr="008611C9" w:rsidRDefault="00AE4775" w:rsidP="00AB1A7E">
      <w:pPr>
        <w:ind w:left="851" w:hanging="425"/>
        <w:jc w:val="both"/>
        <w:outlineLvl w:val="0"/>
        <w:rPr>
          <w:i/>
          <w:lang w:val="en-ZA"/>
        </w:rPr>
      </w:pPr>
    </w:p>
    <w:p w:rsidR="00AE4775" w:rsidRDefault="00AE4775" w:rsidP="00AB1A7E">
      <w:pPr>
        <w:ind w:left="1134" w:hanging="425"/>
        <w:jc w:val="both"/>
        <w:outlineLvl w:val="0"/>
        <w:rPr>
          <w:i/>
          <w:lang w:val="en-ZA"/>
        </w:rPr>
      </w:pPr>
      <w:r>
        <w:rPr>
          <w:i/>
          <w:lang w:val="en-ZA"/>
        </w:rPr>
        <w:tab/>
      </w:r>
      <w:r>
        <w:rPr>
          <w:i/>
          <w:lang w:val="en-ZA"/>
        </w:rPr>
        <w:tab/>
      </w:r>
      <w:r>
        <w:rPr>
          <w:i/>
          <w:lang w:val="en-ZA"/>
        </w:rPr>
        <w:tab/>
      </w:r>
      <w:r w:rsidR="00AB1A7E" w:rsidRPr="008611C9">
        <w:rPr>
          <w:i/>
          <w:lang w:val="en-ZA"/>
        </w:rPr>
        <w:t xml:space="preserve">(a) </w:t>
      </w:r>
      <w:r>
        <w:rPr>
          <w:i/>
          <w:lang w:val="en-ZA"/>
        </w:rPr>
        <w:tab/>
      </w:r>
      <w:r w:rsidR="00AB1A7E" w:rsidRPr="008611C9">
        <w:rPr>
          <w:i/>
          <w:lang w:val="en-ZA"/>
        </w:rPr>
        <w:t>must pay off short-term debt within the financial year; and</w:t>
      </w:r>
    </w:p>
    <w:p w:rsidR="00D20F4B" w:rsidRPr="008611C9" w:rsidRDefault="00D20F4B" w:rsidP="00AB1A7E">
      <w:pPr>
        <w:ind w:left="1134" w:hanging="425"/>
        <w:jc w:val="both"/>
        <w:outlineLvl w:val="0"/>
        <w:rPr>
          <w:i/>
          <w:lang w:val="en-ZA"/>
        </w:rPr>
      </w:pPr>
    </w:p>
    <w:p w:rsidR="00AB1A7E" w:rsidRPr="008611C9" w:rsidRDefault="00AE4775" w:rsidP="00AB1A7E">
      <w:pPr>
        <w:ind w:left="1134" w:hanging="425"/>
        <w:jc w:val="both"/>
        <w:outlineLvl w:val="0"/>
        <w:rPr>
          <w:i/>
          <w:lang w:val="en-ZA"/>
        </w:rPr>
      </w:pPr>
      <w:r>
        <w:rPr>
          <w:i/>
          <w:lang w:val="en-ZA"/>
        </w:rPr>
        <w:tab/>
      </w:r>
      <w:r>
        <w:rPr>
          <w:i/>
          <w:lang w:val="en-ZA"/>
        </w:rPr>
        <w:tab/>
      </w:r>
      <w:r>
        <w:rPr>
          <w:i/>
          <w:lang w:val="en-ZA"/>
        </w:rPr>
        <w:tab/>
      </w:r>
      <w:r w:rsidR="00AB1A7E" w:rsidRPr="008611C9">
        <w:rPr>
          <w:i/>
          <w:lang w:val="en-ZA"/>
        </w:rPr>
        <w:t xml:space="preserve">(b) </w:t>
      </w:r>
      <w:r>
        <w:rPr>
          <w:i/>
          <w:lang w:val="en-ZA"/>
        </w:rPr>
        <w:tab/>
      </w:r>
      <w:r w:rsidR="00AB1A7E" w:rsidRPr="008611C9">
        <w:rPr>
          <w:i/>
          <w:lang w:val="en-ZA"/>
        </w:rPr>
        <w:t xml:space="preserve">may not renew or refinance short-term debt, whether its own </w:t>
      </w:r>
      <w:r>
        <w:rPr>
          <w:i/>
          <w:lang w:val="en-ZA"/>
        </w:rPr>
        <w:tab/>
      </w:r>
      <w:r>
        <w:rPr>
          <w:i/>
          <w:lang w:val="en-ZA"/>
        </w:rPr>
        <w:tab/>
      </w:r>
      <w:r>
        <w:rPr>
          <w:i/>
          <w:lang w:val="en-ZA"/>
        </w:rPr>
        <w:tab/>
      </w:r>
      <w:r w:rsidR="00AB1A7E" w:rsidRPr="008611C9">
        <w:rPr>
          <w:i/>
          <w:lang w:val="en-ZA"/>
        </w:rPr>
        <w:t xml:space="preserve">debt or that of any other entity, where such renewal or </w:t>
      </w:r>
      <w:r>
        <w:rPr>
          <w:i/>
          <w:lang w:val="en-ZA"/>
        </w:rPr>
        <w:tab/>
      </w:r>
      <w:r>
        <w:rPr>
          <w:i/>
          <w:lang w:val="en-ZA"/>
        </w:rPr>
        <w:tab/>
      </w:r>
      <w:r>
        <w:rPr>
          <w:i/>
          <w:lang w:val="en-ZA"/>
        </w:rPr>
        <w:tab/>
      </w:r>
      <w:r w:rsidR="00F86329">
        <w:rPr>
          <w:i/>
          <w:lang w:val="en-ZA"/>
        </w:rPr>
        <w:tab/>
      </w:r>
      <w:r w:rsidR="00AB1A7E" w:rsidRPr="008611C9">
        <w:rPr>
          <w:i/>
          <w:lang w:val="en-ZA"/>
        </w:rPr>
        <w:t xml:space="preserve">refinancing will have the effect of extending the short-term debt </w:t>
      </w:r>
      <w:r w:rsidR="00F86329">
        <w:rPr>
          <w:i/>
          <w:lang w:val="en-ZA"/>
        </w:rPr>
        <w:tab/>
      </w:r>
      <w:r w:rsidR="00F86329">
        <w:rPr>
          <w:i/>
          <w:lang w:val="en-ZA"/>
        </w:rPr>
        <w:tab/>
      </w:r>
      <w:r w:rsidR="00F86329">
        <w:rPr>
          <w:i/>
          <w:lang w:val="en-ZA"/>
        </w:rPr>
        <w:tab/>
      </w:r>
      <w:r w:rsidR="00AB1A7E" w:rsidRPr="008611C9">
        <w:rPr>
          <w:i/>
          <w:lang w:val="en-ZA"/>
        </w:rPr>
        <w:t>into a new financial year.</w:t>
      </w:r>
    </w:p>
    <w:p w:rsidR="00AB1A7E" w:rsidRPr="008611C9" w:rsidRDefault="00AB1A7E" w:rsidP="00AB1A7E">
      <w:pPr>
        <w:ind w:left="1134" w:hanging="425"/>
        <w:jc w:val="both"/>
        <w:outlineLvl w:val="0"/>
        <w:rPr>
          <w:i/>
          <w:lang w:val="en-ZA"/>
        </w:rPr>
      </w:pPr>
    </w:p>
    <w:p w:rsidR="00AB1A7E" w:rsidRDefault="00F86329" w:rsidP="00AB1A7E">
      <w:pPr>
        <w:ind w:left="851" w:hanging="425"/>
        <w:jc w:val="both"/>
        <w:outlineLvl w:val="0"/>
        <w:rPr>
          <w:i/>
          <w:lang w:val="en-ZA"/>
        </w:rPr>
      </w:pPr>
      <w:r>
        <w:rPr>
          <w:i/>
          <w:lang w:val="en-ZA"/>
        </w:rPr>
        <w:tab/>
      </w:r>
      <w:r>
        <w:rPr>
          <w:i/>
          <w:lang w:val="en-ZA"/>
        </w:rPr>
        <w:tab/>
      </w:r>
      <w:r w:rsidR="002A097C">
        <w:rPr>
          <w:i/>
          <w:lang w:val="en-ZA"/>
        </w:rPr>
        <w:t xml:space="preserve">  </w:t>
      </w:r>
      <w:r w:rsidR="00AB1A7E" w:rsidRPr="008611C9">
        <w:rPr>
          <w:i/>
          <w:lang w:val="en-ZA"/>
        </w:rPr>
        <w:t>(5)</w:t>
      </w:r>
      <w:r>
        <w:rPr>
          <w:i/>
          <w:lang w:val="en-ZA"/>
        </w:rPr>
        <w:tab/>
      </w:r>
      <w:r w:rsidR="00AB1A7E" w:rsidRPr="008611C9">
        <w:rPr>
          <w:i/>
          <w:lang w:val="en-ZA"/>
        </w:rPr>
        <w:t xml:space="preserve"> (a) </w:t>
      </w:r>
      <w:r>
        <w:rPr>
          <w:i/>
          <w:lang w:val="en-ZA"/>
        </w:rPr>
        <w:tab/>
      </w:r>
      <w:r w:rsidR="00AB1A7E" w:rsidRPr="008611C9">
        <w:rPr>
          <w:i/>
          <w:lang w:val="en-ZA"/>
        </w:rPr>
        <w:t xml:space="preserve">No lender may wilfully extend credit to a municipality for the </w:t>
      </w:r>
      <w:r>
        <w:rPr>
          <w:i/>
          <w:lang w:val="en-ZA"/>
        </w:rPr>
        <w:tab/>
      </w:r>
      <w:r>
        <w:rPr>
          <w:i/>
          <w:lang w:val="en-ZA"/>
        </w:rPr>
        <w:tab/>
      </w:r>
      <w:r>
        <w:rPr>
          <w:i/>
          <w:lang w:val="en-ZA"/>
        </w:rPr>
        <w:tab/>
      </w:r>
      <w:r w:rsidR="00AB1A7E" w:rsidRPr="008611C9">
        <w:rPr>
          <w:i/>
          <w:lang w:val="en-ZA"/>
        </w:rPr>
        <w:t xml:space="preserve">purpose of renewing or refinancing short-term debt that must </w:t>
      </w:r>
      <w:r>
        <w:rPr>
          <w:i/>
          <w:lang w:val="en-ZA"/>
        </w:rPr>
        <w:tab/>
      </w:r>
      <w:r>
        <w:rPr>
          <w:i/>
          <w:lang w:val="en-ZA"/>
        </w:rPr>
        <w:tab/>
      </w:r>
      <w:r>
        <w:rPr>
          <w:i/>
          <w:lang w:val="en-ZA"/>
        </w:rPr>
        <w:tab/>
      </w:r>
      <w:r w:rsidR="00AB1A7E" w:rsidRPr="008611C9">
        <w:rPr>
          <w:i/>
          <w:lang w:val="en-ZA"/>
        </w:rPr>
        <w:t>be paid off in terms of subsection (4)(a).</w:t>
      </w:r>
    </w:p>
    <w:p w:rsidR="00F86329" w:rsidRPr="008611C9" w:rsidRDefault="00F86329" w:rsidP="00AB1A7E">
      <w:pPr>
        <w:ind w:left="851" w:hanging="425"/>
        <w:jc w:val="both"/>
        <w:outlineLvl w:val="0"/>
        <w:rPr>
          <w:i/>
          <w:lang w:val="en-ZA"/>
        </w:rPr>
      </w:pPr>
    </w:p>
    <w:p w:rsidR="00AB1A7E" w:rsidRPr="008611C9" w:rsidRDefault="00F86329" w:rsidP="00AB1A7E">
      <w:pPr>
        <w:ind w:left="1145" w:hanging="425"/>
        <w:jc w:val="both"/>
        <w:outlineLvl w:val="0"/>
        <w:rPr>
          <w:i/>
          <w:lang w:val="en-ZA"/>
        </w:rPr>
      </w:pPr>
      <w:r>
        <w:rPr>
          <w:i/>
          <w:lang w:val="en-ZA"/>
        </w:rPr>
        <w:tab/>
      </w:r>
      <w:r>
        <w:rPr>
          <w:i/>
          <w:lang w:val="en-ZA"/>
        </w:rPr>
        <w:tab/>
      </w:r>
      <w:r>
        <w:rPr>
          <w:i/>
          <w:lang w:val="en-ZA"/>
        </w:rPr>
        <w:tab/>
      </w:r>
      <w:r w:rsidR="00AB1A7E" w:rsidRPr="008611C9">
        <w:rPr>
          <w:i/>
          <w:lang w:val="en-ZA"/>
        </w:rPr>
        <w:t xml:space="preserve">(b) </w:t>
      </w:r>
      <w:r>
        <w:rPr>
          <w:i/>
          <w:lang w:val="en-ZA"/>
        </w:rPr>
        <w:tab/>
      </w:r>
      <w:r w:rsidR="00AB1A7E" w:rsidRPr="008611C9">
        <w:rPr>
          <w:i/>
          <w:lang w:val="en-ZA"/>
        </w:rPr>
        <w:t xml:space="preserve">If a lender wilfully extends credit to a municipality in </w:t>
      </w:r>
      <w:r>
        <w:rPr>
          <w:i/>
          <w:lang w:val="en-ZA"/>
        </w:rPr>
        <w:tab/>
      </w:r>
      <w:r>
        <w:rPr>
          <w:i/>
          <w:lang w:val="en-ZA"/>
        </w:rPr>
        <w:tab/>
      </w:r>
      <w:r>
        <w:rPr>
          <w:i/>
          <w:lang w:val="en-ZA"/>
        </w:rPr>
        <w:tab/>
      </w:r>
      <w:r>
        <w:rPr>
          <w:i/>
          <w:lang w:val="en-ZA"/>
        </w:rPr>
        <w:tab/>
      </w:r>
      <w:r w:rsidR="00AB1A7E" w:rsidRPr="008611C9">
        <w:rPr>
          <w:i/>
          <w:lang w:val="en-ZA"/>
        </w:rPr>
        <w:t xml:space="preserve">contravention of paragraph (a), the municipality is not bound </w:t>
      </w:r>
      <w:r w:rsidR="00D20F4B">
        <w:rPr>
          <w:i/>
          <w:lang w:val="en-ZA"/>
        </w:rPr>
        <w:tab/>
      </w:r>
      <w:r w:rsidR="00D20F4B">
        <w:rPr>
          <w:i/>
          <w:lang w:val="en-ZA"/>
        </w:rPr>
        <w:tab/>
      </w:r>
      <w:r w:rsidR="00D20F4B">
        <w:rPr>
          <w:i/>
          <w:lang w:val="en-ZA"/>
        </w:rPr>
        <w:tab/>
      </w:r>
      <w:r w:rsidR="00AB1A7E" w:rsidRPr="008611C9">
        <w:rPr>
          <w:i/>
          <w:lang w:val="en-ZA"/>
        </w:rPr>
        <w:t>to repay the loan or interest on the loan.</w:t>
      </w:r>
    </w:p>
    <w:p w:rsidR="00AB1A7E" w:rsidRPr="008611C9" w:rsidRDefault="00AB1A7E" w:rsidP="00AB1A7E">
      <w:pPr>
        <w:ind w:left="1145" w:hanging="425"/>
        <w:jc w:val="both"/>
        <w:outlineLvl w:val="0"/>
        <w:rPr>
          <w:i/>
          <w:lang w:val="en-ZA"/>
        </w:rPr>
      </w:pPr>
    </w:p>
    <w:p w:rsidR="00AB1A7E" w:rsidRDefault="00D20F4B" w:rsidP="00AB1A7E">
      <w:pPr>
        <w:ind w:left="851" w:hanging="425"/>
        <w:jc w:val="both"/>
        <w:outlineLvl w:val="0"/>
        <w:rPr>
          <w:i/>
          <w:lang w:val="en-ZA"/>
        </w:rPr>
      </w:pPr>
      <w:r>
        <w:rPr>
          <w:i/>
          <w:lang w:val="en-ZA"/>
        </w:rPr>
        <w:tab/>
      </w:r>
      <w:r>
        <w:rPr>
          <w:i/>
          <w:lang w:val="en-ZA"/>
        </w:rPr>
        <w:tab/>
      </w:r>
      <w:r w:rsidR="002A097C">
        <w:rPr>
          <w:i/>
          <w:lang w:val="en-ZA"/>
        </w:rPr>
        <w:t xml:space="preserve"> </w:t>
      </w:r>
      <w:r w:rsidR="00AB1A7E" w:rsidRPr="008611C9">
        <w:rPr>
          <w:i/>
          <w:lang w:val="en-ZA"/>
        </w:rPr>
        <w:t xml:space="preserve">(6) </w:t>
      </w:r>
      <w:r>
        <w:rPr>
          <w:i/>
          <w:lang w:val="en-ZA"/>
        </w:rPr>
        <w:tab/>
      </w:r>
      <w:r w:rsidR="00AB1A7E" w:rsidRPr="008611C9">
        <w:rPr>
          <w:i/>
          <w:lang w:val="en-ZA"/>
        </w:rPr>
        <w:t>Subsection (5)(b) does not apply if the lender</w:t>
      </w:r>
      <w:r>
        <w:rPr>
          <w:i/>
          <w:lang w:val="en-ZA"/>
        </w:rPr>
        <w:t xml:space="preserve"> </w:t>
      </w:r>
      <w:r w:rsidR="00AB1A7E" w:rsidRPr="008611C9">
        <w:rPr>
          <w:i/>
          <w:lang w:val="en-ZA"/>
        </w:rPr>
        <w:t>—</w:t>
      </w:r>
    </w:p>
    <w:p w:rsidR="00D20F4B" w:rsidRPr="008611C9" w:rsidRDefault="00D20F4B" w:rsidP="00AB1A7E">
      <w:pPr>
        <w:ind w:left="851" w:hanging="425"/>
        <w:jc w:val="both"/>
        <w:outlineLvl w:val="0"/>
        <w:rPr>
          <w:i/>
          <w:lang w:val="en-ZA"/>
        </w:rPr>
      </w:pPr>
    </w:p>
    <w:p w:rsidR="00AB1A7E" w:rsidRDefault="00D20F4B" w:rsidP="00AB1A7E">
      <w:pPr>
        <w:ind w:left="851" w:hanging="142"/>
        <w:jc w:val="both"/>
        <w:outlineLvl w:val="0"/>
        <w:rPr>
          <w:i/>
          <w:lang w:val="en-ZA"/>
        </w:rPr>
      </w:pPr>
      <w:r>
        <w:rPr>
          <w:i/>
          <w:lang w:val="en-ZA"/>
        </w:rPr>
        <w:tab/>
      </w:r>
      <w:r>
        <w:rPr>
          <w:i/>
          <w:lang w:val="en-ZA"/>
        </w:rPr>
        <w:tab/>
      </w:r>
      <w:r>
        <w:rPr>
          <w:i/>
          <w:lang w:val="en-ZA"/>
        </w:rPr>
        <w:tab/>
      </w:r>
      <w:r w:rsidR="00AB1A7E" w:rsidRPr="008611C9">
        <w:rPr>
          <w:i/>
          <w:lang w:val="en-ZA"/>
        </w:rPr>
        <w:t>(a)</w:t>
      </w:r>
      <w:r>
        <w:rPr>
          <w:i/>
          <w:lang w:val="en-ZA"/>
        </w:rPr>
        <w:tab/>
      </w:r>
      <w:r w:rsidR="00AB1A7E" w:rsidRPr="008611C9">
        <w:rPr>
          <w:i/>
          <w:lang w:val="en-ZA"/>
        </w:rPr>
        <w:t xml:space="preserve"> relied in good faith on written representations of the </w:t>
      </w:r>
      <w:r>
        <w:rPr>
          <w:i/>
          <w:lang w:val="en-ZA"/>
        </w:rPr>
        <w:tab/>
      </w:r>
      <w:r>
        <w:rPr>
          <w:i/>
          <w:lang w:val="en-ZA"/>
        </w:rPr>
        <w:tab/>
      </w:r>
      <w:r>
        <w:rPr>
          <w:i/>
          <w:lang w:val="en-ZA"/>
        </w:rPr>
        <w:tab/>
      </w:r>
      <w:r>
        <w:rPr>
          <w:i/>
          <w:lang w:val="en-ZA"/>
        </w:rPr>
        <w:tab/>
      </w:r>
      <w:r w:rsidR="00AB1A7E" w:rsidRPr="008611C9">
        <w:rPr>
          <w:i/>
          <w:lang w:val="en-ZA"/>
        </w:rPr>
        <w:t>municipality as to the purpose of the borrowing; and</w:t>
      </w:r>
    </w:p>
    <w:p w:rsidR="00D20F4B" w:rsidRPr="008611C9" w:rsidRDefault="00D20F4B" w:rsidP="00AB1A7E">
      <w:pPr>
        <w:ind w:left="851" w:hanging="142"/>
        <w:jc w:val="both"/>
        <w:outlineLvl w:val="0"/>
        <w:rPr>
          <w:i/>
          <w:lang w:val="en-ZA"/>
        </w:rPr>
      </w:pPr>
    </w:p>
    <w:p w:rsidR="00AB1A7E" w:rsidRDefault="00D20F4B" w:rsidP="00AB1A7E">
      <w:pPr>
        <w:ind w:left="633"/>
        <w:jc w:val="both"/>
      </w:pPr>
      <w:r>
        <w:rPr>
          <w:i/>
          <w:lang w:val="en-ZA"/>
        </w:rPr>
        <w:tab/>
      </w:r>
      <w:r>
        <w:rPr>
          <w:i/>
          <w:lang w:val="en-ZA"/>
        </w:rPr>
        <w:tab/>
      </w:r>
      <w:r>
        <w:rPr>
          <w:i/>
          <w:lang w:val="en-ZA"/>
        </w:rPr>
        <w:tab/>
      </w:r>
      <w:r w:rsidR="00AB1A7E" w:rsidRPr="008611C9">
        <w:rPr>
          <w:i/>
          <w:lang w:val="en-ZA"/>
        </w:rPr>
        <w:t xml:space="preserve">(b) </w:t>
      </w:r>
      <w:r w:rsidR="00221B2F">
        <w:rPr>
          <w:i/>
          <w:lang w:val="en-ZA"/>
        </w:rPr>
        <w:tab/>
      </w:r>
      <w:r w:rsidR="00AB1A7E" w:rsidRPr="008611C9">
        <w:rPr>
          <w:i/>
          <w:lang w:val="en-ZA"/>
        </w:rPr>
        <w:t xml:space="preserve">did not know and had no reason to believe that the borrowing </w:t>
      </w:r>
      <w:r w:rsidR="00221B2F">
        <w:rPr>
          <w:i/>
          <w:lang w:val="en-ZA"/>
        </w:rPr>
        <w:tab/>
      </w:r>
      <w:r w:rsidR="00221B2F">
        <w:rPr>
          <w:i/>
          <w:lang w:val="en-ZA"/>
        </w:rPr>
        <w:tab/>
      </w:r>
      <w:r w:rsidR="00221B2F">
        <w:rPr>
          <w:i/>
          <w:lang w:val="en-ZA"/>
        </w:rPr>
        <w:tab/>
      </w:r>
      <w:r w:rsidR="00221B2F">
        <w:rPr>
          <w:i/>
          <w:lang w:val="en-ZA"/>
        </w:rPr>
        <w:tab/>
      </w:r>
      <w:r w:rsidR="00AB1A7E" w:rsidRPr="008611C9">
        <w:rPr>
          <w:i/>
          <w:lang w:val="en-ZA"/>
        </w:rPr>
        <w:t xml:space="preserve">was for the purpose of renewing or refinancing short-term </w:t>
      </w:r>
      <w:r w:rsidR="00221B2F">
        <w:rPr>
          <w:i/>
          <w:lang w:val="en-ZA"/>
        </w:rPr>
        <w:tab/>
      </w:r>
      <w:r w:rsidR="00221B2F">
        <w:rPr>
          <w:i/>
          <w:lang w:val="en-ZA"/>
        </w:rPr>
        <w:tab/>
      </w:r>
      <w:r w:rsidR="00221B2F">
        <w:rPr>
          <w:i/>
          <w:lang w:val="en-ZA"/>
        </w:rPr>
        <w:tab/>
      </w:r>
      <w:r w:rsidR="00221B2F">
        <w:rPr>
          <w:i/>
          <w:lang w:val="en-ZA"/>
        </w:rPr>
        <w:tab/>
      </w:r>
      <w:r w:rsidR="00221B2F">
        <w:rPr>
          <w:i/>
          <w:lang w:val="en-ZA"/>
        </w:rPr>
        <w:tab/>
      </w:r>
      <w:r w:rsidR="00AB1A7E" w:rsidRPr="008611C9">
        <w:rPr>
          <w:i/>
          <w:lang w:val="en-ZA"/>
        </w:rPr>
        <w:t>debt.</w:t>
      </w:r>
    </w:p>
    <w:p w:rsidR="00AB1A7E" w:rsidRDefault="00AB1A7E" w:rsidP="004B1D78">
      <w:pPr>
        <w:ind w:left="633"/>
        <w:jc w:val="both"/>
      </w:pPr>
    </w:p>
    <w:p w:rsidR="00AB1A7E" w:rsidRDefault="003A49DC" w:rsidP="004B1D78">
      <w:pPr>
        <w:ind w:left="633"/>
        <w:jc w:val="both"/>
      </w:pPr>
      <w:r>
        <w:t xml:space="preserve">The municipality furthermore, should continue to openly </w:t>
      </w:r>
      <w:r w:rsidR="00AB3698">
        <w:t xml:space="preserve">and actively </w:t>
      </w:r>
      <w:r>
        <w:t>engage</w:t>
      </w:r>
      <w:r w:rsidR="002A667D">
        <w:t xml:space="preserve"> </w:t>
      </w:r>
      <w:r>
        <w:t>with Provincial and National Tr</w:t>
      </w:r>
      <w:r w:rsidR="00AB3698">
        <w:t>easuries on matters of revenue enhancement</w:t>
      </w:r>
      <w:r w:rsidR="002A667D">
        <w:t xml:space="preserve"> </w:t>
      </w:r>
      <w:r w:rsidR="00AB3698">
        <w:t>so as to avert the actual need for exercising the overdraft credit facility.</w:t>
      </w:r>
    </w:p>
    <w:p w:rsidR="00AB3698" w:rsidRPr="003A1944" w:rsidRDefault="00AB3698" w:rsidP="004B1D78">
      <w:pPr>
        <w:ind w:left="633"/>
        <w:jc w:val="both"/>
      </w:pPr>
    </w:p>
    <w:p w:rsidR="00F802C3" w:rsidRPr="00BC7D96" w:rsidRDefault="00221B2F" w:rsidP="002A667D">
      <w:pPr>
        <w:ind w:left="633" w:hanging="3"/>
        <w:jc w:val="both"/>
      </w:pPr>
      <w:r>
        <w:tab/>
      </w:r>
      <w:r w:rsidR="0093315A">
        <w:t>Other proposals</w:t>
      </w:r>
      <w:r w:rsidR="00F83E91" w:rsidRPr="00BC7D96">
        <w:t xml:space="preserve"> arising from discussions at the Budget Panel</w:t>
      </w:r>
      <w:r w:rsidR="002A667D">
        <w:t xml:space="preserve"> and Provincial</w:t>
      </w:r>
      <w:r w:rsidR="00E26EA3">
        <w:t xml:space="preserve"> </w:t>
      </w:r>
      <w:r w:rsidR="0093315A">
        <w:t>budget assessment</w:t>
      </w:r>
      <w:r w:rsidR="00F83E91" w:rsidRPr="00BC7D96">
        <w:t>,</w:t>
      </w:r>
      <w:r>
        <w:t xml:space="preserve"> </w:t>
      </w:r>
      <w:r w:rsidR="00D604C5" w:rsidRPr="00BC7D96">
        <w:t xml:space="preserve">highlighted several operational issues </w:t>
      </w:r>
      <w:r w:rsidR="007B15FB" w:rsidRPr="00BC7D96">
        <w:t>for future evaluation and assessment</w:t>
      </w:r>
      <w:r w:rsidR="0093315A">
        <w:t>, with the possibility of increasing revenue generation in the upcoming financial year</w:t>
      </w:r>
      <w:r w:rsidR="007B15FB" w:rsidRPr="00BC7D96">
        <w:t>. These include</w:t>
      </w:r>
      <w:r w:rsidR="002E04B3" w:rsidRPr="00BC7D96">
        <w:t>d</w:t>
      </w:r>
      <w:r>
        <w:t>:</w:t>
      </w:r>
    </w:p>
    <w:p w:rsidR="007B15FB" w:rsidRPr="00BC7D96" w:rsidRDefault="007B15FB" w:rsidP="004B1D78">
      <w:pPr>
        <w:ind w:left="633"/>
        <w:jc w:val="both"/>
      </w:pPr>
    </w:p>
    <w:p w:rsidR="00C105CF" w:rsidRPr="00BC7D96" w:rsidRDefault="00FA4B49" w:rsidP="00E26EA3">
      <w:pPr>
        <w:numPr>
          <w:ilvl w:val="0"/>
          <w:numId w:val="6"/>
        </w:numPr>
        <w:ind w:left="1440" w:hanging="810"/>
        <w:jc w:val="both"/>
      </w:pPr>
      <w:r w:rsidRPr="00BC7D96">
        <w:t xml:space="preserve">Further inter-governmental engagements on the future long-term funding of the Sharpeville </w:t>
      </w:r>
      <w:r w:rsidR="00C105CF" w:rsidRPr="00BC7D96">
        <w:t>Heritage Precinct now that has been recognised as a National heritage site</w:t>
      </w:r>
      <w:r w:rsidR="00EB529B" w:rsidRPr="00BC7D96">
        <w:t>, as well as on the Boipatong</w:t>
      </w:r>
      <w:r w:rsidR="00B87A17" w:rsidRPr="00BC7D96">
        <w:t xml:space="preserve"> Memorial</w:t>
      </w:r>
      <w:r w:rsidR="00C105CF" w:rsidRPr="00BC7D96">
        <w:t>;</w:t>
      </w:r>
    </w:p>
    <w:p w:rsidR="00F679FE" w:rsidRPr="00BC7D96" w:rsidRDefault="00B87A17" w:rsidP="00E26EA3">
      <w:pPr>
        <w:numPr>
          <w:ilvl w:val="0"/>
          <w:numId w:val="6"/>
        </w:numPr>
        <w:ind w:left="1440" w:hanging="810"/>
        <w:jc w:val="both"/>
      </w:pPr>
      <w:r w:rsidRPr="00BC7D96">
        <w:t xml:space="preserve">Further inter-governmental discussion over the provision of funding for the Disaster Management function </w:t>
      </w:r>
      <w:r w:rsidR="00E070F7" w:rsidRPr="00BC7D96">
        <w:t xml:space="preserve">with specific reference to </w:t>
      </w:r>
      <w:r w:rsidR="002E04B3" w:rsidRPr="00BC7D96">
        <w:t>Schedule 4 – Part A of the Constitution (108/1996)</w:t>
      </w:r>
      <w:r w:rsidR="007069EF">
        <w:t xml:space="preserve"> and the requirements of the Disaster Management Act</w:t>
      </w:r>
      <w:r w:rsidR="00FE0C0D">
        <w:t xml:space="preserve"> Chapter 5</w:t>
      </w:r>
      <w:r w:rsidR="002E04B3" w:rsidRPr="00BC7D96">
        <w:t>;</w:t>
      </w:r>
    </w:p>
    <w:p w:rsidR="002E04B3" w:rsidRPr="00BC7D96" w:rsidRDefault="002E04B3" w:rsidP="00E26EA3">
      <w:pPr>
        <w:numPr>
          <w:ilvl w:val="0"/>
          <w:numId w:val="6"/>
        </w:numPr>
        <w:ind w:left="1440" w:hanging="810"/>
        <w:jc w:val="both"/>
      </w:pPr>
      <w:r w:rsidRPr="00BC7D96">
        <w:t>The short to medium term revenue model for the funding of the Regional Tourism Organisation (RTO);</w:t>
      </w:r>
    </w:p>
    <w:p w:rsidR="002E04B3" w:rsidRPr="00BC7D96" w:rsidRDefault="002E04B3" w:rsidP="00E26EA3">
      <w:pPr>
        <w:numPr>
          <w:ilvl w:val="0"/>
          <w:numId w:val="6"/>
        </w:numPr>
        <w:ind w:left="1440" w:hanging="810"/>
        <w:jc w:val="both"/>
      </w:pPr>
      <w:r w:rsidRPr="00BC7D96">
        <w:t xml:space="preserve">The medium term </w:t>
      </w:r>
      <w:r w:rsidR="00A2168B" w:rsidRPr="00BC7D96">
        <w:t>outlook for the NDPG unit in SPED now that the funding has been relocated to the local municipalities;</w:t>
      </w:r>
    </w:p>
    <w:p w:rsidR="00C10D60" w:rsidRDefault="00A2168B" w:rsidP="00E26EA3">
      <w:pPr>
        <w:numPr>
          <w:ilvl w:val="0"/>
          <w:numId w:val="6"/>
        </w:numPr>
        <w:ind w:left="1440" w:hanging="810"/>
        <w:jc w:val="both"/>
      </w:pPr>
      <w:r w:rsidRPr="00BC7D96">
        <w:t xml:space="preserve">The </w:t>
      </w:r>
      <w:r w:rsidR="0076419F" w:rsidRPr="00BC7D96">
        <w:t xml:space="preserve">apportioning of the </w:t>
      </w:r>
      <w:r w:rsidR="00327FCA" w:rsidRPr="00BC7D96">
        <w:t>Novell (IT network) license to the local municipalities;</w:t>
      </w:r>
      <w:r w:rsidR="00984784">
        <w:t xml:space="preserve"> and</w:t>
      </w:r>
    </w:p>
    <w:p w:rsidR="00327FCA" w:rsidRDefault="00C10D60" w:rsidP="00E26EA3">
      <w:pPr>
        <w:numPr>
          <w:ilvl w:val="0"/>
          <w:numId w:val="6"/>
        </w:numPr>
        <w:ind w:left="1440" w:hanging="810"/>
        <w:jc w:val="both"/>
      </w:pPr>
      <w:r>
        <w:t xml:space="preserve">To conduct inter-governmental engagements </w:t>
      </w:r>
      <w:r w:rsidR="00327FCA" w:rsidRPr="00BC7D96">
        <w:t xml:space="preserve">on </w:t>
      </w:r>
      <w:r w:rsidR="002C322E" w:rsidRPr="00BC7D96">
        <w:t>potential infrastructure</w:t>
      </w:r>
      <w:r w:rsidR="00FE0C0D">
        <w:t xml:space="preserve"> / repairs &amp; maintenance</w:t>
      </w:r>
      <w:r w:rsidR="002C322E" w:rsidRPr="00BC7D96">
        <w:t xml:space="preserve"> funding for:</w:t>
      </w:r>
    </w:p>
    <w:p w:rsidR="00E90221" w:rsidRPr="00BC7D96" w:rsidRDefault="00E90221" w:rsidP="00E90221">
      <w:pPr>
        <w:ind w:left="2160"/>
        <w:jc w:val="both"/>
      </w:pPr>
    </w:p>
    <w:p w:rsidR="002C322E" w:rsidRPr="00BC7D96" w:rsidRDefault="002C322E" w:rsidP="00E26EA3">
      <w:pPr>
        <w:numPr>
          <w:ilvl w:val="1"/>
          <w:numId w:val="6"/>
        </w:numPr>
        <w:ind w:hanging="633"/>
        <w:jc w:val="both"/>
      </w:pPr>
      <w:r w:rsidRPr="00BC7D96">
        <w:t xml:space="preserve">Refurbishing the </w:t>
      </w:r>
      <w:r w:rsidR="00FE0C0D" w:rsidRPr="00BC7D96">
        <w:t>Taxi Ranks</w:t>
      </w:r>
      <w:r w:rsidR="00C10D60">
        <w:t>;</w:t>
      </w:r>
    </w:p>
    <w:p w:rsidR="002C322E" w:rsidRPr="00BC7D96" w:rsidRDefault="002C322E" w:rsidP="00E26EA3">
      <w:pPr>
        <w:numPr>
          <w:ilvl w:val="1"/>
          <w:numId w:val="6"/>
        </w:numPr>
        <w:ind w:hanging="633"/>
        <w:jc w:val="both"/>
      </w:pPr>
      <w:r w:rsidRPr="00BC7D96">
        <w:t xml:space="preserve">Refurbishing </w:t>
      </w:r>
      <w:r w:rsidR="00FE0C0D" w:rsidRPr="00BC7D96">
        <w:t>Licensing Service Centres</w:t>
      </w:r>
      <w:r w:rsidR="00C10D60">
        <w:t>;</w:t>
      </w:r>
    </w:p>
    <w:p w:rsidR="002C322E" w:rsidRPr="00BC7D96" w:rsidRDefault="00C10D60" w:rsidP="00E26EA3">
      <w:pPr>
        <w:numPr>
          <w:ilvl w:val="1"/>
          <w:numId w:val="6"/>
        </w:numPr>
        <w:ind w:hanging="633"/>
        <w:jc w:val="both"/>
      </w:pPr>
      <w:r>
        <w:t>Museums;</w:t>
      </w:r>
    </w:p>
    <w:p w:rsidR="002C322E" w:rsidRPr="00BC7D96" w:rsidRDefault="00C10D60" w:rsidP="00E26EA3">
      <w:pPr>
        <w:numPr>
          <w:ilvl w:val="1"/>
          <w:numId w:val="6"/>
        </w:numPr>
        <w:ind w:hanging="633"/>
        <w:jc w:val="both"/>
      </w:pPr>
      <w:r>
        <w:t>Theatres; and</w:t>
      </w:r>
    </w:p>
    <w:p w:rsidR="00C55412" w:rsidRDefault="00C55412" w:rsidP="00E26EA3">
      <w:pPr>
        <w:numPr>
          <w:ilvl w:val="1"/>
          <w:numId w:val="6"/>
        </w:numPr>
        <w:ind w:hanging="633"/>
        <w:jc w:val="both"/>
      </w:pPr>
      <w:r w:rsidRPr="00BC7D96">
        <w:t>Municipal Administrative buildings.</w:t>
      </w:r>
    </w:p>
    <w:p w:rsidR="004270BE" w:rsidRDefault="004270BE" w:rsidP="00E90221">
      <w:pPr>
        <w:ind w:firstLine="87"/>
        <w:jc w:val="both"/>
      </w:pPr>
    </w:p>
    <w:p w:rsidR="007D662F" w:rsidRDefault="004270BE" w:rsidP="00E26EA3">
      <w:pPr>
        <w:ind w:left="630"/>
        <w:jc w:val="both"/>
      </w:pPr>
      <w:r>
        <w:t>At the time of preparing this MTREF to be tabled, the municipality had also not as yet finalised other avenues of cost reduction, which could also potentially reduce the deficit gap between the operational revenue and the operation</w:t>
      </w:r>
      <w:r w:rsidR="00C10D60">
        <w:t>al expenditure. These include:</w:t>
      </w:r>
    </w:p>
    <w:p w:rsidR="007D662F" w:rsidRPr="007D662F" w:rsidRDefault="007D662F" w:rsidP="006B43FA">
      <w:pPr>
        <w:ind w:left="360"/>
        <w:jc w:val="both"/>
        <w:rPr>
          <w:sz w:val="28"/>
        </w:rPr>
      </w:pPr>
    </w:p>
    <w:p w:rsidR="007D662F" w:rsidRDefault="007D662F" w:rsidP="00E26EA3">
      <w:pPr>
        <w:pStyle w:val="ListParagraph"/>
        <w:numPr>
          <w:ilvl w:val="0"/>
          <w:numId w:val="9"/>
        </w:numPr>
        <w:spacing w:after="0"/>
        <w:ind w:left="1418" w:hanging="788"/>
        <w:jc w:val="both"/>
        <w:rPr>
          <w:rFonts w:ascii="Times New Roman" w:hAnsi="Times New Roman" w:cs="Times New Roman"/>
          <w:sz w:val="24"/>
        </w:rPr>
      </w:pPr>
      <w:r w:rsidRPr="007D662F">
        <w:rPr>
          <w:rFonts w:ascii="Times New Roman" w:hAnsi="Times New Roman" w:cs="Times New Roman"/>
          <w:sz w:val="24"/>
        </w:rPr>
        <w:t xml:space="preserve">Potential </w:t>
      </w:r>
      <w:r>
        <w:rPr>
          <w:rFonts w:ascii="Times New Roman" w:hAnsi="Times New Roman" w:cs="Times New Roman"/>
          <w:sz w:val="24"/>
        </w:rPr>
        <w:t>revenue generation from the existing fibre optic network;</w:t>
      </w:r>
    </w:p>
    <w:p w:rsidR="00F73033" w:rsidRDefault="00F73033" w:rsidP="00E26EA3">
      <w:pPr>
        <w:pStyle w:val="ListParagraph"/>
        <w:numPr>
          <w:ilvl w:val="0"/>
          <w:numId w:val="9"/>
        </w:numPr>
        <w:spacing w:after="0"/>
        <w:ind w:left="1418" w:hanging="788"/>
        <w:jc w:val="both"/>
        <w:rPr>
          <w:rFonts w:ascii="Times New Roman" w:hAnsi="Times New Roman" w:cs="Times New Roman"/>
          <w:sz w:val="24"/>
        </w:rPr>
      </w:pPr>
      <w:r>
        <w:rPr>
          <w:rFonts w:ascii="Times New Roman" w:hAnsi="Times New Roman" w:cs="Times New Roman"/>
          <w:sz w:val="24"/>
        </w:rPr>
        <w:t>Review the funding model of the districtwide IT service;</w:t>
      </w:r>
    </w:p>
    <w:p w:rsidR="007D662F" w:rsidRDefault="006B43FA" w:rsidP="004F1B0D">
      <w:pPr>
        <w:pStyle w:val="ListParagraph"/>
        <w:numPr>
          <w:ilvl w:val="0"/>
          <w:numId w:val="9"/>
        </w:numPr>
        <w:spacing w:after="0" w:line="240" w:lineRule="auto"/>
        <w:ind w:left="1418" w:hanging="788"/>
        <w:jc w:val="both"/>
        <w:rPr>
          <w:rFonts w:ascii="Times New Roman" w:hAnsi="Times New Roman" w:cs="Times New Roman"/>
          <w:sz w:val="24"/>
        </w:rPr>
      </w:pPr>
      <w:r>
        <w:rPr>
          <w:rFonts w:ascii="Times New Roman" w:hAnsi="Times New Roman" w:cs="Times New Roman"/>
          <w:sz w:val="24"/>
        </w:rPr>
        <w:t xml:space="preserve">Cost reduction of contracted services through participation in National </w:t>
      </w:r>
      <w:r w:rsidR="00C10D60">
        <w:rPr>
          <w:rFonts w:ascii="Times New Roman" w:hAnsi="Times New Roman" w:cs="Times New Roman"/>
          <w:sz w:val="24"/>
        </w:rPr>
        <w:tab/>
      </w:r>
      <w:r w:rsidR="00C10D60">
        <w:rPr>
          <w:rFonts w:ascii="Times New Roman" w:hAnsi="Times New Roman" w:cs="Times New Roman"/>
          <w:sz w:val="24"/>
        </w:rPr>
        <w:tab/>
      </w:r>
      <w:r>
        <w:rPr>
          <w:rFonts w:ascii="Times New Roman" w:hAnsi="Times New Roman" w:cs="Times New Roman"/>
          <w:sz w:val="24"/>
        </w:rPr>
        <w:t xml:space="preserve">Treasury transversal contracts for goods, services and commodities </w:t>
      </w:r>
      <w:r w:rsidR="00C10D60">
        <w:rPr>
          <w:rFonts w:ascii="Times New Roman" w:hAnsi="Times New Roman" w:cs="Times New Roman"/>
          <w:sz w:val="24"/>
        </w:rPr>
        <w:tab/>
      </w:r>
      <w:r w:rsidR="00C10D60">
        <w:rPr>
          <w:rFonts w:ascii="Times New Roman" w:hAnsi="Times New Roman" w:cs="Times New Roman"/>
          <w:sz w:val="24"/>
        </w:rPr>
        <w:tab/>
      </w:r>
      <w:r>
        <w:rPr>
          <w:rFonts w:ascii="Times New Roman" w:hAnsi="Times New Roman" w:cs="Times New Roman"/>
          <w:sz w:val="24"/>
        </w:rPr>
        <w:t>such as</w:t>
      </w:r>
      <w:r w:rsidR="00C258F3">
        <w:rPr>
          <w:rFonts w:ascii="Times New Roman" w:hAnsi="Times New Roman" w:cs="Times New Roman"/>
          <w:sz w:val="24"/>
        </w:rPr>
        <w:t>:</w:t>
      </w:r>
    </w:p>
    <w:p w:rsidR="00862CF4" w:rsidRDefault="00862CF4" w:rsidP="004F1B0D">
      <w:pPr>
        <w:pStyle w:val="ListParagraph"/>
        <w:spacing w:after="0" w:line="240" w:lineRule="auto"/>
        <w:ind w:left="1440"/>
        <w:jc w:val="both"/>
        <w:rPr>
          <w:rFonts w:ascii="Times New Roman" w:hAnsi="Times New Roman" w:cs="Times New Roman"/>
          <w:sz w:val="24"/>
        </w:rPr>
      </w:pPr>
    </w:p>
    <w:p w:rsidR="006B43FA" w:rsidRDefault="006B43FA" w:rsidP="00E26EA3">
      <w:pPr>
        <w:pStyle w:val="ListParagraph"/>
        <w:numPr>
          <w:ilvl w:val="1"/>
          <w:numId w:val="9"/>
        </w:numPr>
        <w:spacing w:after="0"/>
        <w:ind w:left="1440" w:firstLine="0"/>
        <w:jc w:val="both"/>
        <w:rPr>
          <w:rFonts w:ascii="Times New Roman" w:hAnsi="Times New Roman" w:cs="Times New Roman"/>
          <w:sz w:val="24"/>
        </w:rPr>
      </w:pPr>
      <w:r>
        <w:rPr>
          <w:rFonts w:ascii="Times New Roman" w:hAnsi="Times New Roman" w:cs="Times New Roman"/>
          <w:sz w:val="24"/>
        </w:rPr>
        <w:t>Provision of mobile communication service and devices;</w:t>
      </w:r>
    </w:p>
    <w:p w:rsidR="006B43FA" w:rsidRDefault="006B43FA" w:rsidP="00E26EA3">
      <w:pPr>
        <w:pStyle w:val="ListParagraph"/>
        <w:numPr>
          <w:ilvl w:val="1"/>
          <w:numId w:val="9"/>
        </w:numPr>
        <w:spacing w:after="0"/>
        <w:ind w:left="1440" w:firstLine="0"/>
        <w:jc w:val="both"/>
        <w:rPr>
          <w:rFonts w:ascii="Times New Roman" w:hAnsi="Times New Roman" w:cs="Times New Roman"/>
          <w:sz w:val="24"/>
        </w:rPr>
      </w:pPr>
      <w:r>
        <w:rPr>
          <w:rFonts w:ascii="Times New Roman" w:hAnsi="Times New Roman" w:cs="Times New Roman"/>
          <w:sz w:val="24"/>
        </w:rPr>
        <w:t>Leasing of labour saving office equipment devices;</w:t>
      </w:r>
      <w:r w:rsidR="00E44FEC">
        <w:rPr>
          <w:rFonts w:ascii="Times New Roman" w:hAnsi="Times New Roman" w:cs="Times New Roman"/>
          <w:sz w:val="24"/>
        </w:rPr>
        <w:t xml:space="preserve"> and</w:t>
      </w:r>
    </w:p>
    <w:p w:rsidR="006B43FA" w:rsidRDefault="006B43FA" w:rsidP="000B6319">
      <w:pPr>
        <w:pStyle w:val="ListParagraph"/>
        <w:numPr>
          <w:ilvl w:val="1"/>
          <w:numId w:val="9"/>
        </w:numPr>
        <w:spacing w:after="0" w:line="240" w:lineRule="auto"/>
        <w:ind w:left="1440" w:firstLine="0"/>
        <w:jc w:val="both"/>
        <w:rPr>
          <w:rFonts w:ascii="Times New Roman" w:hAnsi="Times New Roman" w:cs="Times New Roman"/>
          <w:sz w:val="24"/>
        </w:rPr>
      </w:pPr>
      <w:r>
        <w:rPr>
          <w:rFonts w:ascii="Times New Roman" w:hAnsi="Times New Roman" w:cs="Times New Roman"/>
          <w:sz w:val="24"/>
        </w:rPr>
        <w:t xml:space="preserve">Subscription for </w:t>
      </w:r>
      <w:r w:rsidR="00E44FEC">
        <w:rPr>
          <w:rFonts w:ascii="Times New Roman" w:hAnsi="Times New Roman" w:cs="Times New Roman"/>
          <w:sz w:val="24"/>
        </w:rPr>
        <w:t>digital satellite television services.</w:t>
      </w:r>
    </w:p>
    <w:p w:rsidR="00C258F3" w:rsidRDefault="00C258F3" w:rsidP="000B6319">
      <w:pPr>
        <w:pStyle w:val="ListParagraph"/>
        <w:spacing w:after="0" w:line="240" w:lineRule="auto"/>
        <w:ind w:left="2160"/>
        <w:jc w:val="both"/>
        <w:rPr>
          <w:rFonts w:ascii="Times New Roman" w:hAnsi="Times New Roman" w:cs="Times New Roman"/>
          <w:sz w:val="24"/>
        </w:rPr>
      </w:pPr>
    </w:p>
    <w:p w:rsidR="00E44FEC" w:rsidRDefault="00E44FEC" w:rsidP="000B6319">
      <w:pPr>
        <w:pStyle w:val="ListParagraph"/>
        <w:numPr>
          <w:ilvl w:val="0"/>
          <w:numId w:val="9"/>
        </w:numPr>
        <w:spacing w:after="0" w:line="240" w:lineRule="auto"/>
        <w:ind w:left="1418" w:hanging="788"/>
        <w:jc w:val="both"/>
        <w:rPr>
          <w:rFonts w:ascii="Times New Roman" w:hAnsi="Times New Roman" w:cs="Times New Roman"/>
          <w:sz w:val="24"/>
        </w:rPr>
      </w:pPr>
      <w:r>
        <w:rPr>
          <w:rFonts w:ascii="Times New Roman" w:hAnsi="Times New Roman" w:cs="Times New Roman"/>
          <w:sz w:val="24"/>
        </w:rPr>
        <w:t xml:space="preserve">Amendments to overtime working conditions for staff </w:t>
      </w:r>
      <w:r w:rsidR="002C7CEC">
        <w:rPr>
          <w:rFonts w:ascii="Times New Roman" w:hAnsi="Times New Roman" w:cs="Times New Roman"/>
          <w:sz w:val="24"/>
        </w:rPr>
        <w:t xml:space="preserve">earning </w:t>
      </w:r>
      <w:r>
        <w:rPr>
          <w:rFonts w:ascii="Times New Roman" w:hAnsi="Times New Roman" w:cs="Times New Roman"/>
          <w:sz w:val="24"/>
        </w:rPr>
        <w:t>above</w:t>
      </w:r>
      <w:r w:rsidR="004F1B0D">
        <w:rPr>
          <w:rFonts w:ascii="Times New Roman" w:hAnsi="Times New Roman" w:cs="Times New Roman"/>
          <w:sz w:val="24"/>
        </w:rPr>
        <w:t xml:space="preserve"> </w:t>
      </w:r>
      <w:r>
        <w:rPr>
          <w:rFonts w:ascii="Times New Roman" w:hAnsi="Times New Roman" w:cs="Times New Roman"/>
          <w:sz w:val="24"/>
        </w:rPr>
        <w:t xml:space="preserve">the Department of Labour </w:t>
      </w:r>
      <w:r w:rsidR="002C7CEC">
        <w:rPr>
          <w:rFonts w:ascii="Times New Roman" w:hAnsi="Times New Roman" w:cs="Times New Roman"/>
          <w:sz w:val="24"/>
        </w:rPr>
        <w:t>threshold (in consultation with Labour Representatives) to reduce costs and improve quality of working conditions of the affected staff members;</w:t>
      </w:r>
    </w:p>
    <w:p w:rsidR="002C7CEC" w:rsidRDefault="00307DA7" w:rsidP="004F1B0D">
      <w:pPr>
        <w:pStyle w:val="ListParagraph"/>
        <w:numPr>
          <w:ilvl w:val="0"/>
          <w:numId w:val="9"/>
        </w:numPr>
        <w:spacing w:after="0" w:line="240" w:lineRule="auto"/>
        <w:ind w:left="1418" w:hanging="788"/>
        <w:jc w:val="both"/>
        <w:rPr>
          <w:rFonts w:ascii="Times New Roman" w:hAnsi="Times New Roman" w:cs="Times New Roman"/>
          <w:sz w:val="24"/>
        </w:rPr>
      </w:pPr>
      <w:r>
        <w:rPr>
          <w:rFonts w:ascii="Times New Roman" w:hAnsi="Times New Roman" w:cs="Times New Roman"/>
          <w:sz w:val="24"/>
        </w:rPr>
        <w:t>Reviewing office space lease agreements as and when they become due for renewal with the intention to reduce rental expenditure;</w:t>
      </w:r>
    </w:p>
    <w:p w:rsidR="00307DA7" w:rsidRDefault="00B51EAF" w:rsidP="004F1B0D">
      <w:pPr>
        <w:pStyle w:val="ListParagraph"/>
        <w:numPr>
          <w:ilvl w:val="0"/>
          <w:numId w:val="9"/>
        </w:numPr>
        <w:spacing w:after="0" w:line="240" w:lineRule="auto"/>
        <w:ind w:left="1418" w:hanging="788"/>
        <w:jc w:val="both"/>
        <w:rPr>
          <w:rFonts w:ascii="Times New Roman" w:hAnsi="Times New Roman" w:cs="Times New Roman"/>
          <w:sz w:val="24"/>
        </w:rPr>
      </w:pPr>
      <w:r>
        <w:rPr>
          <w:rFonts w:ascii="Times New Roman" w:hAnsi="Times New Roman" w:cs="Times New Roman"/>
          <w:sz w:val="24"/>
        </w:rPr>
        <w:t>Intensify efforts to source corporate social responsibility funding and/or philanthropic funding for the Executive Mayor’s programmes such as the external student financial aid scheme</w:t>
      </w:r>
      <w:r w:rsidR="00736E0C">
        <w:rPr>
          <w:rFonts w:ascii="Times New Roman" w:hAnsi="Times New Roman" w:cs="Times New Roman"/>
          <w:sz w:val="24"/>
        </w:rPr>
        <w:t>;</w:t>
      </w:r>
    </w:p>
    <w:p w:rsidR="00736E0C" w:rsidRPr="007D662F" w:rsidRDefault="00736E0C" w:rsidP="004F1B0D">
      <w:pPr>
        <w:pStyle w:val="ListParagraph"/>
        <w:numPr>
          <w:ilvl w:val="0"/>
          <w:numId w:val="9"/>
        </w:numPr>
        <w:spacing w:after="0" w:line="240" w:lineRule="auto"/>
        <w:ind w:left="1418" w:hanging="788"/>
        <w:jc w:val="both"/>
        <w:rPr>
          <w:rFonts w:ascii="Times New Roman" w:hAnsi="Times New Roman" w:cs="Times New Roman"/>
          <w:sz w:val="24"/>
        </w:rPr>
      </w:pPr>
      <w:r>
        <w:rPr>
          <w:rFonts w:ascii="Times New Roman" w:hAnsi="Times New Roman" w:cs="Times New Roman"/>
          <w:sz w:val="24"/>
        </w:rPr>
        <w:t xml:space="preserve">Seek intervention from Department of Labour and COGTA on </w:t>
      </w:r>
      <w:r w:rsidR="00F31E93">
        <w:rPr>
          <w:rFonts w:ascii="Times New Roman" w:hAnsi="Times New Roman" w:cs="Times New Roman"/>
          <w:sz w:val="24"/>
        </w:rPr>
        <w:t xml:space="preserve">the lack of disbursement of LGSETA skills development funding </w:t>
      </w:r>
      <w:r w:rsidR="00F73033">
        <w:rPr>
          <w:rFonts w:ascii="Times New Roman" w:hAnsi="Times New Roman" w:cs="Times New Roman"/>
          <w:sz w:val="24"/>
        </w:rPr>
        <w:t>from the discretionary grant.</w:t>
      </w:r>
    </w:p>
    <w:p w:rsidR="00A8248A" w:rsidRPr="00BC7D96" w:rsidRDefault="00A8248A" w:rsidP="00862CF4">
      <w:pPr>
        <w:ind w:left="792"/>
        <w:jc w:val="both"/>
      </w:pPr>
    </w:p>
    <w:p w:rsidR="0010763E" w:rsidRPr="0071497A" w:rsidRDefault="00B77E96" w:rsidP="00B77E96">
      <w:pPr>
        <w:jc w:val="both"/>
      </w:pPr>
      <w:r>
        <w:tab/>
      </w:r>
      <w:r w:rsidR="0010763E" w:rsidRPr="0071497A">
        <w:rPr>
          <w:u w:val="single"/>
        </w:rPr>
        <w:t>ALIGNMENT WITH COUNCIL STRATEGIES</w:t>
      </w:r>
    </w:p>
    <w:p w:rsidR="0010763E" w:rsidRDefault="0010763E" w:rsidP="0071497A">
      <w:pPr>
        <w:jc w:val="both"/>
        <w:rPr>
          <w:b/>
          <w:bCs/>
        </w:rPr>
      </w:pPr>
    </w:p>
    <w:p w:rsidR="0010763E" w:rsidRDefault="0010763E" w:rsidP="00B77E96">
      <w:pPr>
        <w:ind w:left="720" w:hanging="900"/>
        <w:jc w:val="both"/>
      </w:pPr>
      <w:r>
        <w:rPr>
          <w:b/>
          <w:bCs/>
        </w:rPr>
        <w:tab/>
      </w:r>
      <w:r>
        <w:t>Th</w:t>
      </w:r>
      <w:r w:rsidR="00335B84">
        <w:t>is</w:t>
      </w:r>
      <w:r>
        <w:t xml:space="preserve"> report is aligned </w:t>
      </w:r>
      <w:r w:rsidR="00335B84">
        <w:t>to</w:t>
      </w:r>
      <w:r>
        <w:t xml:space="preserve"> the Reviewed IDP for </w:t>
      </w:r>
      <w:r w:rsidR="00186DC1">
        <w:t>201</w:t>
      </w:r>
      <w:r w:rsidR="00C2708F">
        <w:t>7/2021</w:t>
      </w:r>
      <w:r>
        <w:t>, the district’s GDS</w:t>
      </w:r>
      <w:r w:rsidR="00151B94">
        <w:t>-</w:t>
      </w:r>
      <w:r w:rsidR="00C2708F">
        <w:t>3</w:t>
      </w:r>
      <w:r>
        <w:t xml:space="preserve">, Municipal Budget and Reporting regulations GN </w:t>
      </w:r>
      <w:r w:rsidR="000054B8">
        <w:t>393 of 2009, Municipal Standard Chart of Accounts Regulations, GN 312 of 2014</w:t>
      </w:r>
      <w:r>
        <w:t xml:space="preserve"> as well as circulars </w:t>
      </w:r>
      <w:r w:rsidR="000054B8">
        <w:t xml:space="preserve">48, 51, 54, 55, 58, 66, 67, 70, 74, 78, 79, 85 and </w:t>
      </w:r>
      <w:r w:rsidR="00BF2C1E">
        <w:t>86 of</w:t>
      </w:r>
      <w:r>
        <w:t xml:space="preserve"> National Treasury.  </w:t>
      </w:r>
    </w:p>
    <w:p w:rsidR="00B77E96" w:rsidRDefault="00B77E96" w:rsidP="00B77E96">
      <w:pPr>
        <w:ind w:left="720" w:hanging="900"/>
        <w:jc w:val="both"/>
      </w:pPr>
    </w:p>
    <w:p w:rsidR="00DE44B5" w:rsidRDefault="00DE44B5" w:rsidP="00B77E96">
      <w:pPr>
        <w:ind w:left="720" w:hanging="900"/>
        <w:jc w:val="both"/>
      </w:pPr>
      <w:r>
        <w:tab/>
        <w:t xml:space="preserve">It must be noted </w:t>
      </w:r>
      <w:r w:rsidR="00A04B37">
        <w:t xml:space="preserve">by Council </w:t>
      </w:r>
      <w:r>
        <w:t xml:space="preserve">that </w:t>
      </w:r>
      <w:r w:rsidR="00A04B37">
        <w:t xml:space="preserve">Council have yet to adopt the cost containment prescripts of MFMA Circular 82 (updated November 2016) prescribed by the Minister Finance under </w:t>
      </w:r>
      <w:r w:rsidR="00C30C4E">
        <w:t>MFMA section 168.</w:t>
      </w:r>
      <w:r w:rsidR="00E523D5">
        <w:t xml:space="preserve"> Alignment of the 2017/2018 MTREF to these cost containment measures will seek to improve the overall credibility and sustainability of the </w:t>
      </w:r>
      <w:r w:rsidR="004270BE">
        <w:t>budget.</w:t>
      </w:r>
    </w:p>
    <w:p w:rsidR="000B6319" w:rsidRDefault="000B6319" w:rsidP="00B77E96">
      <w:pPr>
        <w:ind w:left="720" w:hanging="900"/>
        <w:jc w:val="both"/>
      </w:pPr>
    </w:p>
    <w:p w:rsidR="000B6319" w:rsidRDefault="000B6319" w:rsidP="00B77E96">
      <w:pPr>
        <w:ind w:left="720" w:hanging="900"/>
        <w:jc w:val="both"/>
      </w:pPr>
    </w:p>
    <w:p w:rsidR="00594CFD" w:rsidRDefault="00594CFD" w:rsidP="000B6319">
      <w:pPr>
        <w:ind w:left="720"/>
        <w:jc w:val="both"/>
      </w:pPr>
      <w:r w:rsidRPr="002A2723">
        <w:rPr>
          <w:u w:val="single"/>
        </w:rPr>
        <w:lastRenderedPageBreak/>
        <w:t>Council Budget Related Policies</w:t>
      </w:r>
    </w:p>
    <w:p w:rsidR="00594CFD" w:rsidRDefault="00594CFD" w:rsidP="002A2723">
      <w:pPr>
        <w:ind w:left="540"/>
        <w:jc w:val="both"/>
      </w:pPr>
    </w:p>
    <w:p w:rsidR="002A2723" w:rsidRDefault="002A2723" w:rsidP="005E01A1">
      <w:pPr>
        <w:ind w:left="720"/>
        <w:jc w:val="both"/>
      </w:pPr>
      <w:r>
        <w:t>The MTREF for 2017/2018 has been drawn up in alignment with the</w:t>
      </w:r>
      <w:r w:rsidR="005E01A1">
        <w:t xml:space="preserve"> </w:t>
      </w:r>
      <w:r>
        <w:t>following financial &amp; budget related policies (as reviewed and adop</w:t>
      </w:r>
      <w:r w:rsidR="00A90EC0">
        <w:t>ted Council Resolution</w:t>
      </w:r>
      <w:r w:rsidR="00950862">
        <w:t xml:space="preserve"> 90th </w:t>
      </w:r>
      <w:r w:rsidR="00A90EC0">
        <w:t xml:space="preserve"> A1532</w:t>
      </w:r>
      <w:r w:rsidR="00950862">
        <w:t xml:space="preserve"> held on 08 June 2016</w:t>
      </w:r>
      <w:r w:rsidR="00A90EC0">
        <w:t>):</w:t>
      </w:r>
    </w:p>
    <w:p w:rsidR="00467E8B" w:rsidRPr="00273D4D" w:rsidRDefault="00467E8B" w:rsidP="005E01A1">
      <w:pPr>
        <w:ind w:left="540" w:firstLine="180"/>
        <w:jc w:val="both"/>
        <w:rPr>
          <w:sz w:val="28"/>
        </w:rPr>
      </w:pP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Cash Handling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Management of Foreign Exchange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Cash Management &amp; Investment Policy</w:t>
      </w:r>
      <w:r w:rsidR="00114398" w:rsidRPr="00273D4D">
        <w:rPr>
          <w:rFonts w:ascii="Times New Roman" w:hAnsi="Times New Roman" w:cs="Times New Roman"/>
          <w:sz w:val="24"/>
        </w:rPr>
        <w:t xml:space="preserve"> (as amended A1579)</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Revenue Management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Debt Management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Sundry Tariff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Loans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 xml:space="preserve">Fixed Asset Management Policy </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Capital Projects and Infrastructure Development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Strategic Budget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Long Term Financial Plan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Budget Oversight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Virement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Unforeseen and Unavoidable Expenses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Supply Chain Management Policy &amp; Procedures</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Unauthorised, Irregular, Fruitless &amp; Wasteful Expenditure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Accounts Payable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Payroll Management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Subsistence &amp; Travel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Funding &amp; Reserves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Journal Entry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Vaal Teknorama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Acting Allowance Policy</w:t>
      </w:r>
    </w:p>
    <w:p w:rsidR="00467E8B" w:rsidRPr="00273D4D" w:rsidRDefault="00467E8B" w:rsidP="005E01A1">
      <w:pPr>
        <w:pStyle w:val="ListParagraph"/>
        <w:numPr>
          <w:ilvl w:val="0"/>
          <w:numId w:val="10"/>
        </w:numPr>
        <w:spacing w:after="0"/>
        <w:ind w:left="1530" w:hanging="810"/>
        <w:jc w:val="both"/>
        <w:rPr>
          <w:rFonts w:ascii="Times New Roman" w:hAnsi="Times New Roman" w:cs="Times New Roman"/>
          <w:sz w:val="24"/>
        </w:rPr>
      </w:pPr>
      <w:r w:rsidRPr="00273D4D">
        <w:rPr>
          <w:rFonts w:ascii="Times New Roman" w:hAnsi="Times New Roman" w:cs="Times New Roman"/>
          <w:sz w:val="24"/>
        </w:rPr>
        <w:t>Donation Policy</w:t>
      </w:r>
    </w:p>
    <w:p w:rsidR="005217C7" w:rsidRPr="00467E8B" w:rsidRDefault="005217C7" w:rsidP="000B6319">
      <w:pPr>
        <w:ind w:left="540" w:firstLine="180"/>
        <w:jc w:val="both"/>
      </w:pPr>
    </w:p>
    <w:p w:rsidR="0010763E" w:rsidRDefault="00D744A7" w:rsidP="007178EA">
      <w:pPr>
        <w:ind w:left="720"/>
        <w:jc w:val="both"/>
      </w:pPr>
      <w:r>
        <w:t xml:space="preserve">During the budget process, these policies were reviewed and found to still be </w:t>
      </w:r>
      <w:r w:rsidR="00205CCA">
        <w:t xml:space="preserve">    </w:t>
      </w:r>
      <w:r>
        <w:t>applicable with no requirement for amendments.</w:t>
      </w:r>
    </w:p>
    <w:p w:rsidR="00D744A7" w:rsidRPr="00467E8B" w:rsidRDefault="00D744A7" w:rsidP="007178EA">
      <w:pPr>
        <w:ind w:left="720"/>
        <w:jc w:val="both"/>
      </w:pPr>
    </w:p>
    <w:p w:rsidR="0010763E" w:rsidRPr="0071497A" w:rsidRDefault="000E1E1F" w:rsidP="007178EA">
      <w:pPr>
        <w:ind w:left="720"/>
        <w:jc w:val="both"/>
      </w:pPr>
      <w:r>
        <w:t xml:space="preserve"> </w:t>
      </w:r>
      <w:r w:rsidR="0010763E" w:rsidRPr="0071497A">
        <w:rPr>
          <w:u w:val="single"/>
        </w:rPr>
        <w:t>FINANCIAL IMPLICATIONS</w:t>
      </w:r>
    </w:p>
    <w:p w:rsidR="00205CCA" w:rsidRDefault="00205CCA" w:rsidP="007178EA">
      <w:pPr>
        <w:ind w:left="720"/>
        <w:jc w:val="both"/>
        <w:rPr>
          <w:b/>
          <w:bCs/>
        </w:rPr>
      </w:pPr>
    </w:p>
    <w:p w:rsidR="0010763E" w:rsidRPr="00730BA5" w:rsidRDefault="0010763E" w:rsidP="007178EA">
      <w:pPr>
        <w:ind w:left="720"/>
        <w:jc w:val="both"/>
        <w:rPr>
          <w:color w:val="000000"/>
          <w:sz w:val="18"/>
          <w:szCs w:val="18"/>
          <w:lang w:val="en-US"/>
        </w:rPr>
      </w:pPr>
      <w:r w:rsidRPr="00730BA5">
        <w:t xml:space="preserve">The total estimated operating revenue of </w:t>
      </w:r>
      <w:r w:rsidR="00AE6818" w:rsidRPr="00730BA5">
        <w:tab/>
      </w:r>
      <w:r w:rsidR="00BF2D86" w:rsidRPr="00730BA5">
        <w:tab/>
      </w:r>
      <w:r w:rsidR="00AE6818" w:rsidRPr="00730BA5">
        <w:t xml:space="preserve">R </w:t>
      </w:r>
      <w:r w:rsidR="00730BA5" w:rsidRPr="00730BA5">
        <w:t>364,</w:t>
      </w:r>
      <w:r w:rsidR="007D3BF8">
        <w:t>637</w:t>
      </w:r>
      <w:r w:rsidR="00FA689F">
        <w:t>,</w:t>
      </w:r>
      <w:r w:rsidR="007D3BF8">
        <w:t>443</w:t>
      </w:r>
      <w:r w:rsidR="00AE6818" w:rsidRPr="00730BA5">
        <w:rPr>
          <w:color w:val="000000"/>
          <w:lang w:val="en-US"/>
        </w:rPr>
        <w:t>;</w:t>
      </w:r>
    </w:p>
    <w:p w:rsidR="0010763E" w:rsidRPr="00730BA5" w:rsidRDefault="00285655" w:rsidP="007178EA">
      <w:pPr>
        <w:ind w:left="720"/>
        <w:jc w:val="both"/>
      </w:pPr>
      <w:r w:rsidRPr="00730BA5">
        <w:t>T</w:t>
      </w:r>
      <w:r w:rsidR="0010763E" w:rsidRPr="00730BA5">
        <w:t xml:space="preserve">he total estimated operating expenditure </w:t>
      </w:r>
      <w:r w:rsidRPr="00730BA5">
        <w:t>of</w:t>
      </w:r>
      <w:r w:rsidR="00AE6818" w:rsidRPr="00730BA5">
        <w:tab/>
      </w:r>
      <w:r w:rsidR="00BF2D86" w:rsidRPr="00730BA5">
        <w:tab/>
      </w:r>
      <w:r w:rsidR="00AE6818" w:rsidRPr="00730BA5">
        <w:t xml:space="preserve">R </w:t>
      </w:r>
      <w:r w:rsidR="00730BA5" w:rsidRPr="00730BA5">
        <w:t>38</w:t>
      </w:r>
      <w:r w:rsidR="00FA689F">
        <w:t>5,893,000</w:t>
      </w:r>
      <w:r w:rsidR="00AE6818" w:rsidRPr="00730BA5">
        <w:t>;</w:t>
      </w:r>
    </w:p>
    <w:p w:rsidR="00AE6818" w:rsidRPr="00730BA5" w:rsidRDefault="00730BA5" w:rsidP="007178EA">
      <w:pPr>
        <w:ind w:left="720"/>
        <w:jc w:val="both"/>
      </w:pPr>
      <w:r w:rsidRPr="00730BA5">
        <w:t xml:space="preserve">resulting in an </w:t>
      </w:r>
      <w:r w:rsidR="006045FF" w:rsidRPr="00730BA5">
        <w:t xml:space="preserve">operational </w:t>
      </w:r>
      <w:r w:rsidRPr="00730BA5">
        <w:t>deficit</w:t>
      </w:r>
      <w:r w:rsidR="006045FF" w:rsidRPr="00730BA5">
        <w:t xml:space="preserve"> of</w:t>
      </w:r>
      <w:r w:rsidR="00BF2D86" w:rsidRPr="00730BA5">
        <w:tab/>
      </w:r>
      <w:r w:rsidRPr="00730BA5">
        <w:tab/>
      </w:r>
      <w:r w:rsidR="000E1E1F">
        <w:tab/>
      </w:r>
      <w:r w:rsidR="006045FF" w:rsidRPr="00730BA5">
        <w:t xml:space="preserve">R </w:t>
      </w:r>
      <w:r w:rsidR="00FA689F">
        <w:t>21,256,000</w:t>
      </w:r>
      <w:r w:rsidR="006045FF" w:rsidRPr="00730BA5">
        <w:t>; and</w:t>
      </w:r>
    </w:p>
    <w:p w:rsidR="0010763E" w:rsidRDefault="0010763E" w:rsidP="007178EA">
      <w:pPr>
        <w:ind w:left="720"/>
        <w:jc w:val="both"/>
      </w:pPr>
      <w:r w:rsidRPr="00730BA5">
        <w:t xml:space="preserve">The total estimated Capital Budget </w:t>
      </w:r>
      <w:r w:rsidR="005217C7" w:rsidRPr="00730BA5">
        <w:t>of</w:t>
      </w:r>
      <w:r w:rsidR="00AE6818" w:rsidRPr="00730BA5">
        <w:tab/>
      </w:r>
      <w:r w:rsidR="00BF2D86" w:rsidRPr="00730BA5">
        <w:tab/>
      </w:r>
      <w:r w:rsidR="00700B76" w:rsidRPr="00730BA5">
        <w:t xml:space="preserve">R </w:t>
      </w:r>
      <w:r w:rsidR="0047745E">
        <w:t xml:space="preserve">  </w:t>
      </w:r>
      <w:r w:rsidR="00730BA5" w:rsidRPr="00730BA5">
        <w:t>6,000,000</w:t>
      </w:r>
      <w:r w:rsidR="00AE6818" w:rsidRPr="00730BA5">
        <w:t>.</w:t>
      </w:r>
    </w:p>
    <w:p w:rsidR="0047745E" w:rsidRDefault="0047745E" w:rsidP="007178EA">
      <w:pPr>
        <w:ind w:left="720"/>
        <w:jc w:val="both"/>
      </w:pPr>
    </w:p>
    <w:p w:rsidR="0047745E" w:rsidRDefault="0047745E" w:rsidP="007178EA">
      <w:pPr>
        <w:ind w:left="720"/>
        <w:jc w:val="both"/>
      </w:pPr>
    </w:p>
    <w:p w:rsidR="0047745E" w:rsidRDefault="0047745E" w:rsidP="007178EA">
      <w:pPr>
        <w:ind w:left="720"/>
        <w:jc w:val="both"/>
      </w:pPr>
    </w:p>
    <w:p w:rsidR="0010763E" w:rsidRDefault="0010763E" w:rsidP="007178EA">
      <w:pPr>
        <w:ind w:left="720"/>
        <w:jc w:val="both"/>
      </w:pPr>
    </w:p>
    <w:p w:rsidR="0010763E" w:rsidRDefault="0010763E" w:rsidP="007178EA">
      <w:pPr>
        <w:ind w:left="720"/>
        <w:jc w:val="both"/>
      </w:pPr>
      <w:r>
        <w:lastRenderedPageBreak/>
        <w:t>Section 18 of the MFMA act needs to be adhered to when looking at the budget funding requirements. This section indicates the following:</w:t>
      </w:r>
    </w:p>
    <w:p w:rsidR="0010763E" w:rsidRDefault="0010763E" w:rsidP="00B04D8D">
      <w:pPr>
        <w:ind w:left="540"/>
        <w:jc w:val="both"/>
      </w:pPr>
    </w:p>
    <w:p w:rsidR="0010763E" w:rsidRDefault="004F5107" w:rsidP="0047745E">
      <w:pPr>
        <w:autoSpaceDE w:val="0"/>
        <w:autoSpaceDN w:val="0"/>
        <w:adjustRightInd w:val="0"/>
        <w:ind w:left="540" w:firstLine="180"/>
        <w:rPr>
          <w:i/>
          <w:iCs/>
          <w:lang w:val="en-US"/>
        </w:rPr>
      </w:pPr>
      <w:r>
        <w:t>“</w:t>
      </w:r>
      <w:r w:rsidRPr="00CA2D11">
        <w:rPr>
          <w:lang w:val="en-US"/>
        </w:rPr>
        <w:t>18</w:t>
      </w:r>
      <w:r w:rsidR="0010763E" w:rsidRPr="00CA2D11">
        <w:rPr>
          <w:i/>
          <w:iCs/>
          <w:lang w:val="en-US"/>
        </w:rPr>
        <w:t xml:space="preserve">. </w:t>
      </w:r>
      <w:r w:rsidR="0010763E">
        <w:rPr>
          <w:i/>
          <w:iCs/>
          <w:lang w:val="en-US"/>
        </w:rPr>
        <w:tab/>
      </w:r>
      <w:r w:rsidR="0010763E" w:rsidRPr="00CA2D11">
        <w:rPr>
          <w:i/>
          <w:iCs/>
          <w:lang w:val="en-US"/>
        </w:rPr>
        <w:t xml:space="preserve">(1) </w:t>
      </w:r>
      <w:r w:rsidR="0010763E">
        <w:rPr>
          <w:i/>
          <w:iCs/>
          <w:lang w:val="en-US"/>
        </w:rPr>
        <w:tab/>
      </w:r>
      <w:r w:rsidR="0010763E" w:rsidRPr="00CA2D11">
        <w:rPr>
          <w:i/>
          <w:iCs/>
          <w:lang w:val="en-US"/>
        </w:rPr>
        <w:t xml:space="preserve">An </w:t>
      </w:r>
      <w:r w:rsidR="00365242">
        <w:rPr>
          <w:i/>
          <w:iCs/>
          <w:lang w:val="en-US"/>
        </w:rPr>
        <w:t xml:space="preserve"> </w:t>
      </w:r>
      <w:r w:rsidR="0010763E" w:rsidRPr="00CA2D11">
        <w:rPr>
          <w:i/>
          <w:iCs/>
          <w:lang w:val="en-US"/>
        </w:rPr>
        <w:t>annual budget may only be funded from</w:t>
      </w:r>
      <w:r w:rsidR="00205CCA">
        <w:rPr>
          <w:i/>
          <w:iCs/>
          <w:lang w:val="en-US"/>
        </w:rPr>
        <w:t xml:space="preserve"> </w:t>
      </w:r>
      <w:r w:rsidR="0010763E" w:rsidRPr="00CA2D11">
        <w:rPr>
          <w:i/>
          <w:iCs/>
          <w:lang w:val="en-US"/>
        </w:rPr>
        <w:t>—</w:t>
      </w:r>
    </w:p>
    <w:p w:rsidR="0047745E" w:rsidRDefault="0047745E" w:rsidP="0047745E">
      <w:pPr>
        <w:autoSpaceDE w:val="0"/>
        <w:autoSpaceDN w:val="0"/>
        <w:adjustRightInd w:val="0"/>
        <w:ind w:left="540" w:firstLine="180"/>
        <w:rPr>
          <w:i/>
          <w:iCs/>
          <w:lang w:val="en-US"/>
        </w:rPr>
      </w:pPr>
    </w:p>
    <w:p w:rsidR="0010763E" w:rsidRPr="00181621" w:rsidRDefault="0010763E" w:rsidP="00B613CC">
      <w:pPr>
        <w:autoSpaceDE w:val="0"/>
        <w:autoSpaceDN w:val="0"/>
        <w:adjustRightInd w:val="0"/>
        <w:ind w:left="2835" w:hanging="708"/>
        <w:rPr>
          <w:i/>
          <w:iCs/>
          <w:lang w:val="en-US"/>
        </w:rPr>
      </w:pPr>
      <w:r w:rsidRPr="00181621">
        <w:rPr>
          <w:i/>
          <w:iCs/>
          <w:lang w:val="en-US"/>
        </w:rPr>
        <w:t xml:space="preserve">(a) </w:t>
      </w:r>
      <w:r>
        <w:rPr>
          <w:i/>
          <w:iCs/>
          <w:lang w:val="en-US"/>
        </w:rPr>
        <w:tab/>
      </w:r>
      <w:r w:rsidRPr="00181621">
        <w:rPr>
          <w:i/>
          <w:iCs/>
          <w:lang w:val="en-US"/>
        </w:rPr>
        <w:t>realistically anticipated revenues to be collected;</w:t>
      </w:r>
    </w:p>
    <w:p w:rsidR="0010763E" w:rsidRPr="00181621" w:rsidRDefault="0010763E" w:rsidP="00B613CC">
      <w:pPr>
        <w:autoSpaceDE w:val="0"/>
        <w:autoSpaceDN w:val="0"/>
        <w:adjustRightInd w:val="0"/>
        <w:ind w:left="2835" w:hanging="708"/>
        <w:rPr>
          <w:i/>
          <w:iCs/>
          <w:lang w:val="en-US"/>
        </w:rPr>
      </w:pPr>
      <w:r w:rsidRPr="00181621">
        <w:rPr>
          <w:i/>
          <w:iCs/>
          <w:lang w:val="en-US"/>
        </w:rPr>
        <w:t xml:space="preserve">(b) </w:t>
      </w:r>
      <w:r>
        <w:rPr>
          <w:i/>
          <w:iCs/>
          <w:lang w:val="en-US"/>
        </w:rPr>
        <w:tab/>
      </w:r>
      <w:r w:rsidRPr="00181621">
        <w:rPr>
          <w:i/>
          <w:iCs/>
          <w:lang w:val="en-US"/>
        </w:rPr>
        <w:t xml:space="preserve">cash-backed accumulated funds from previous years’ surpluses not </w:t>
      </w:r>
      <w:r w:rsidR="00482A51" w:rsidRPr="00181621">
        <w:rPr>
          <w:i/>
          <w:iCs/>
          <w:lang w:val="en-US"/>
        </w:rPr>
        <w:t>committed for</w:t>
      </w:r>
      <w:r w:rsidRPr="00181621">
        <w:rPr>
          <w:i/>
          <w:iCs/>
          <w:lang w:val="en-US"/>
        </w:rPr>
        <w:t xml:space="preserve"> other purposes; and</w:t>
      </w:r>
    </w:p>
    <w:p w:rsidR="0010763E" w:rsidRDefault="0010763E" w:rsidP="00D665E9">
      <w:pPr>
        <w:autoSpaceDE w:val="0"/>
        <w:autoSpaceDN w:val="0"/>
        <w:adjustRightInd w:val="0"/>
        <w:ind w:left="2835" w:hanging="708"/>
        <w:rPr>
          <w:i/>
          <w:iCs/>
          <w:lang w:val="en-US"/>
        </w:rPr>
      </w:pPr>
      <w:r w:rsidRPr="00181621">
        <w:rPr>
          <w:i/>
          <w:iCs/>
          <w:lang w:val="en-US"/>
        </w:rPr>
        <w:t xml:space="preserve">(c) </w:t>
      </w:r>
      <w:r>
        <w:rPr>
          <w:i/>
          <w:iCs/>
          <w:lang w:val="en-US"/>
        </w:rPr>
        <w:tab/>
      </w:r>
      <w:r w:rsidRPr="00181621">
        <w:rPr>
          <w:i/>
          <w:iCs/>
          <w:lang w:val="en-US"/>
        </w:rPr>
        <w:t xml:space="preserve">borrowed funds, but only for the capital budget referred to in </w:t>
      </w:r>
      <w:r w:rsidR="00D665E9" w:rsidRPr="00181621">
        <w:rPr>
          <w:i/>
          <w:iCs/>
          <w:lang w:val="en-US"/>
        </w:rPr>
        <w:t xml:space="preserve">Section </w:t>
      </w:r>
      <w:r w:rsidRPr="00181621">
        <w:rPr>
          <w:i/>
          <w:iCs/>
          <w:lang w:val="en-US"/>
        </w:rPr>
        <w:t>17(2).</w:t>
      </w:r>
    </w:p>
    <w:p w:rsidR="0010763E" w:rsidRPr="00181621" w:rsidRDefault="0010763E" w:rsidP="00D665E9">
      <w:pPr>
        <w:autoSpaceDE w:val="0"/>
        <w:autoSpaceDN w:val="0"/>
        <w:adjustRightInd w:val="0"/>
        <w:ind w:left="2835" w:hanging="708"/>
        <w:rPr>
          <w:i/>
          <w:iCs/>
          <w:lang w:val="en-US"/>
        </w:rPr>
      </w:pPr>
    </w:p>
    <w:p w:rsidR="0010763E" w:rsidRDefault="0010763E" w:rsidP="00D665E9">
      <w:pPr>
        <w:autoSpaceDE w:val="0"/>
        <w:autoSpaceDN w:val="0"/>
        <w:adjustRightInd w:val="0"/>
        <w:ind w:left="2127" w:hanging="709"/>
        <w:rPr>
          <w:i/>
          <w:iCs/>
          <w:lang w:val="en-US"/>
        </w:rPr>
      </w:pPr>
      <w:r w:rsidRPr="00181621">
        <w:rPr>
          <w:i/>
          <w:iCs/>
          <w:lang w:val="en-US"/>
        </w:rPr>
        <w:t xml:space="preserve">(2) </w:t>
      </w:r>
      <w:r>
        <w:rPr>
          <w:i/>
          <w:iCs/>
          <w:lang w:val="en-US"/>
        </w:rPr>
        <w:tab/>
      </w:r>
      <w:r w:rsidRPr="00181621">
        <w:rPr>
          <w:i/>
          <w:iCs/>
          <w:lang w:val="en-US"/>
        </w:rPr>
        <w:t>Revenue projections in the budget must be realistic, taking into account</w:t>
      </w:r>
      <w:r w:rsidR="00205CCA">
        <w:rPr>
          <w:i/>
          <w:iCs/>
          <w:lang w:val="en-US"/>
        </w:rPr>
        <w:t xml:space="preserve"> </w:t>
      </w:r>
      <w:r w:rsidRPr="00181621">
        <w:rPr>
          <w:i/>
          <w:iCs/>
          <w:lang w:val="en-US"/>
        </w:rPr>
        <w:t>—</w:t>
      </w:r>
    </w:p>
    <w:p w:rsidR="00205CCA" w:rsidRPr="00181621" w:rsidRDefault="00205CCA" w:rsidP="00B613CC">
      <w:pPr>
        <w:autoSpaceDE w:val="0"/>
        <w:autoSpaceDN w:val="0"/>
        <w:adjustRightInd w:val="0"/>
        <w:ind w:left="2127" w:hanging="709"/>
        <w:rPr>
          <w:i/>
          <w:iCs/>
          <w:lang w:val="en-US"/>
        </w:rPr>
      </w:pPr>
    </w:p>
    <w:p w:rsidR="0010763E" w:rsidRPr="00181621" w:rsidRDefault="0010763E" w:rsidP="00B613CC">
      <w:pPr>
        <w:autoSpaceDE w:val="0"/>
        <w:autoSpaceDN w:val="0"/>
        <w:adjustRightInd w:val="0"/>
        <w:ind w:left="2835" w:hanging="708"/>
        <w:rPr>
          <w:i/>
          <w:iCs/>
          <w:lang w:val="en-US"/>
        </w:rPr>
      </w:pPr>
      <w:r w:rsidRPr="00181621">
        <w:rPr>
          <w:i/>
          <w:iCs/>
          <w:lang w:val="en-US"/>
        </w:rPr>
        <w:t xml:space="preserve">(a) </w:t>
      </w:r>
      <w:r>
        <w:rPr>
          <w:i/>
          <w:iCs/>
          <w:lang w:val="en-US"/>
        </w:rPr>
        <w:tab/>
      </w:r>
      <w:r w:rsidRPr="00181621">
        <w:rPr>
          <w:i/>
          <w:iCs/>
          <w:lang w:val="en-US"/>
        </w:rPr>
        <w:t>projected revenue for the current year based on collection levels to date; and</w:t>
      </w:r>
    </w:p>
    <w:p w:rsidR="0010763E" w:rsidRDefault="0010763E" w:rsidP="00B613CC">
      <w:pPr>
        <w:ind w:left="2835" w:hanging="708"/>
        <w:jc w:val="both"/>
        <w:rPr>
          <w:lang w:val="en-US"/>
        </w:rPr>
      </w:pPr>
      <w:r w:rsidRPr="00181621">
        <w:rPr>
          <w:i/>
          <w:iCs/>
          <w:lang w:val="en-US"/>
        </w:rPr>
        <w:t xml:space="preserve"> (b) </w:t>
      </w:r>
      <w:r>
        <w:rPr>
          <w:i/>
          <w:iCs/>
          <w:lang w:val="en-US"/>
        </w:rPr>
        <w:tab/>
      </w:r>
      <w:r w:rsidRPr="00181621">
        <w:rPr>
          <w:i/>
          <w:iCs/>
          <w:lang w:val="en-US"/>
        </w:rPr>
        <w:t>actual revenue collected in previous financial years</w:t>
      </w:r>
      <w:r w:rsidRPr="00181621">
        <w:rPr>
          <w:lang w:val="en-US"/>
        </w:rPr>
        <w:t>.”</w:t>
      </w:r>
    </w:p>
    <w:p w:rsidR="00C92814" w:rsidRDefault="00C92814" w:rsidP="00C92814">
      <w:pPr>
        <w:jc w:val="both"/>
        <w:rPr>
          <w:i/>
          <w:iCs/>
          <w:lang w:val="en-US"/>
        </w:rPr>
      </w:pPr>
    </w:p>
    <w:p w:rsidR="0062246A" w:rsidRDefault="0062246A" w:rsidP="0047745E">
      <w:pPr>
        <w:ind w:left="720"/>
        <w:jc w:val="both"/>
      </w:pPr>
      <w:r>
        <w:t xml:space="preserve">The Committee must take note that as tabled, the 2017/2018 MTREF is not </w:t>
      </w:r>
      <w:r w:rsidR="00FA689F">
        <w:t>in balance</w:t>
      </w:r>
      <w:r>
        <w:t xml:space="preserve">, and </w:t>
      </w:r>
      <w:r w:rsidR="00FA689F">
        <w:t xml:space="preserve">as a result the municipality will seek an overdraft credit facility </w:t>
      </w:r>
      <w:r w:rsidR="00F666CE">
        <w:t xml:space="preserve">not exceeding R25million </w:t>
      </w:r>
      <w:r w:rsidR="00FA689F">
        <w:t xml:space="preserve">to bridge the cash shortfall in the operational expenditure only </w:t>
      </w:r>
      <w:r w:rsidR="00F666CE">
        <w:t>when the need arises and subject to Council approval</w:t>
      </w:r>
      <w:r>
        <w:t>.</w:t>
      </w:r>
    </w:p>
    <w:p w:rsidR="0062246A" w:rsidRDefault="0062246A" w:rsidP="0047745E">
      <w:pPr>
        <w:ind w:left="720"/>
        <w:jc w:val="both"/>
      </w:pPr>
    </w:p>
    <w:p w:rsidR="00C92814" w:rsidRDefault="00C92814" w:rsidP="0047745E">
      <w:pPr>
        <w:ind w:left="720"/>
        <w:jc w:val="both"/>
      </w:pPr>
      <w:r>
        <w:t>The following Annexures are attached:</w:t>
      </w:r>
    </w:p>
    <w:p w:rsidR="00C92814" w:rsidRDefault="00C92814" w:rsidP="00C92814">
      <w:pPr>
        <w:jc w:val="both"/>
      </w:pPr>
    </w:p>
    <w:p w:rsidR="00C92814" w:rsidRDefault="00C92814" w:rsidP="00D665E9">
      <w:pPr>
        <w:ind w:left="3261" w:hanging="2541"/>
        <w:jc w:val="both"/>
      </w:pPr>
      <w:r>
        <w:t>Annexure “A</w:t>
      </w:r>
      <w:r w:rsidR="00F666CE">
        <w:t>-1</w:t>
      </w:r>
      <w:r>
        <w:t>”</w:t>
      </w:r>
      <w:r>
        <w:tab/>
      </w:r>
      <w:r w:rsidR="00F666CE">
        <w:t>A Schedule &amp;</w:t>
      </w:r>
      <w:r w:rsidR="005B7A9E">
        <w:t xml:space="preserve"> </w:t>
      </w:r>
      <w:r>
        <w:t xml:space="preserve">Budget Summary </w:t>
      </w:r>
      <w:r w:rsidR="00F666CE">
        <w:t>(non-MSCOA format)</w:t>
      </w:r>
    </w:p>
    <w:p w:rsidR="00F666CE" w:rsidRDefault="00F666CE" w:rsidP="00D665E9">
      <w:pPr>
        <w:ind w:left="3261" w:hanging="2541"/>
        <w:jc w:val="both"/>
      </w:pPr>
    </w:p>
    <w:p w:rsidR="00F666CE" w:rsidRDefault="00F666CE" w:rsidP="00D665E9">
      <w:pPr>
        <w:ind w:left="3261" w:hanging="2541"/>
        <w:jc w:val="both"/>
      </w:pPr>
      <w:r>
        <w:t>Annexure “A-2”</w:t>
      </w:r>
      <w:r>
        <w:tab/>
        <w:t>Budget Summary (MSCOA format)</w:t>
      </w:r>
    </w:p>
    <w:p w:rsidR="00C92814" w:rsidRDefault="00C92814" w:rsidP="00D665E9">
      <w:pPr>
        <w:ind w:left="3261" w:hanging="2541"/>
        <w:jc w:val="both"/>
      </w:pPr>
    </w:p>
    <w:p w:rsidR="00C92814" w:rsidRDefault="00C92814" w:rsidP="00D665E9">
      <w:pPr>
        <w:ind w:left="3261" w:hanging="2541"/>
        <w:jc w:val="both"/>
      </w:pPr>
      <w:r>
        <w:t>Annexure “B”</w:t>
      </w:r>
      <w:r>
        <w:tab/>
        <w:t xml:space="preserve">Budgeted Financial Performance by </w:t>
      </w:r>
      <w:r w:rsidR="0026327B">
        <w:t>C</w:t>
      </w:r>
      <w:r>
        <w:t>lassification</w:t>
      </w:r>
      <w:r w:rsidR="0026327B">
        <w:t xml:space="preserve"> (NT)</w:t>
      </w:r>
    </w:p>
    <w:p w:rsidR="00C92814" w:rsidRDefault="00C92814" w:rsidP="00D665E9">
      <w:pPr>
        <w:ind w:left="3261" w:hanging="2541"/>
        <w:jc w:val="both"/>
      </w:pPr>
    </w:p>
    <w:p w:rsidR="00C92814" w:rsidRDefault="00C92814" w:rsidP="00D665E9">
      <w:pPr>
        <w:ind w:left="3261" w:hanging="2541"/>
        <w:jc w:val="both"/>
      </w:pPr>
      <w:r>
        <w:t>Annexure “C”</w:t>
      </w:r>
      <w:r>
        <w:tab/>
        <w:t xml:space="preserve">Budgeted Financial Performance by </w:t>
      </w:r>
      <w:r w:rsidR="0026327B">
        <w:t>V</w:t>
      </w:r>
      <w:r>
        <w:t>ote (</w:t>
      </w:r>
      <w:r w:rsidR="0026327B">
        <w:t>C</w:t>
      </w:r>
      <w:r>
        <w:t>luster)</w:t>
      </w:r>
    </w:p>
    <w:p w:rsidR="00C92814" w:rsidRDefault="00C92814" w:rsidP="00D665E9">
      <w:pPr>
        <w:ind w:left="3261" w:hanging="2541"/>
        <w:jc w:val="both"/>
      </w:pPr>
    </w:p>
    <w:p w:rsidR="00C92814" w:rsidRDefault="00C92814" w:rsidP="00D665E9">
      <w:pPr>
        <w:ind w:left="3261" w:hanging="2541"/>
        <w:jc w:val="both"/>
      </w:pPr>
      <w:r>
        <w:t>Annexure “D”</w:t>
      </w:r>
      <w:r>
        <w:tab/>
        <w:t>Budgeted Capital Expenditure</w:t>
      </w:r>
    </w:p>
    <w:p w:rsidR="00C92814" w:rsidRDefault="00C92814" w:rsidP="00D665E9">
      <w:pPr>
        <w:ind w:left="3261" w:hanging="2541"/>
        <w:jc w:val="both"/>
      </w:pPr>
    </w:p>
    <w:p w:rsidR="00C92814" w:rsidRDefault="00C92814" w:rsidP="00D665E9">
      <w:pPr>
        <w:ind w:left="3261" w:hanging="2541"/>
        <w:jc w:val="both"/>
      </w:pPr>
      <w:r w:rsidRPr="00F6772D">
        <w:t>Annexure “</w:t>
      </w:r>
      <w:r w:rsidR="00730BA5">
        <w:t>E</w:t>
      </w:r>
      <w:r w:rsidRPr="00F6772D">
        <w:t>”</w:t>
      </w:r>
      <w:r w:rsidRPr="00F6772D">
        <w:tab/>
        <w:t>Tariff of Charges</w:t>
      </w:r>
    </w:p>
    <w:p w:rsidR="00C92814" w:rsidRDefault="00C92814" w:rsidP="00C92814">
      <w:pPr>
        <w:ind w:left="3261" w:hanging="2552"/>
        <w:jc w:val="both"/>
      </w:pPr>
    </w:p>
    <w:p w:rsidR="0010763E" w:rsidRPr="0071497A" w:rsidRDefault="0010763E" w:rsidP="00D665E9">
      <w:pPr>
        <w:tabs>
          <w:tab w:val="left" w:pos="540"/>
        </w:tabs>
        <w:ind w:firstLine="720"/>
        <w:jc w:val="both"/>
      </w:pPr>
      <w:r w:rsidRPr="0071497A">
        <w:rPr>
          <w:u w:val="single"/>
        </w:rPr>
        <w:t>LEGAL IMPLICATIONS</w:t>
      </w:r>
    </w:p>
    <w:p w:rsidR="0010763E" w:rsidRDefault="0010763E" w:rsidP="00D665E9">
      <w:pPr>
        <w:ind w:left="720" w:firstLine="720"/>
        <w:jc w:val="both"/>
        <w:rPr>
          <w:b/>
          <w:bCs/>
        </w:rPr>
      </w:pPr>
    </w:p>
    <w:p w:rsidR="0010763E" w:rsidRDefault="0010763E" w:rsidP="00D665E9">
      <w:pPr>
        <w:ind w:left="720"/>
        <w:jc w:val="both"/>
      </w:pPr>
      <w:r>
        <w:t xml:space="preserve">The budget has been drawn up in line with the </w:t>
      </w:r>
      <w:r w:rsidRPr="0071497A">
        <w:t xml:space="preserve">MFMA, Act 56 </w:t>
      </w:r>
      <w:r>
        <w:t>of 2003 (SS 16-17) which inter alia states:</w:t>
      </w:r>
    </w:p>
    <w:p w:rsidR="0010763E" w:rsidRDefault="0010763E" w:rsidP="00AD6488">
      <w:pPr>
        <w:ind w:left="480"/>
        <w:jc w:val="both"/>
      </w:pPr>
    </w:p>
    <w:p w:rsidR="0010763E" w:rsidRDefault="009E74A7" w:rsidP="00965206">
      <w:pPr>
        <w:ind w:left="720" w:firstLine="60"/>
        <w:jc w:val="both"/>
        <w:rPr>
          <w:i/>
          <w:iCs/>
        </w:rPr>
      </w:pPr>
      <w:r>
        <w:rPr>
          <w:i/>
          <w:iCs/>
        </w:rPr>
        <w:tab/>
      </w:r>
      <w:r w:rsidR="0010763E" w:rsidRPr="005465DB">
        <w:rPr>
          <w:i/>
          <w:iCs/>
        </w:rPr>
        <w:t xml:space="preserve">“The council of a municipality must for each financial year approve an </w:t>
      </w:r>
      <w:r>
        <w:rPr>
          <w:i/>
          <w:iCs/>
        </w:rPr>
        <w:tab/>
        <w:t xml:space="preserve"> </w:t>
      </w:r>
      <w:r>
        <w:rPr>
          <w:i/>
          <w:iCs/>
        </w:rPr>
        <w:tab/>
      </w:r>
      <w:r w:rsidR="0010763E" w:rsidRPr="005465DB">
        <w:rPr>
          <w:i/>
          <w:iCs/>
        </w:rPr>
        <w:t xml:space="preserve">annual budget for the municipality before the start of that financial year.” </w:t>
      </w:r>
    </w:p>
    <w:p w:rsidR="00DA1CA2" w:rsidRDefault="00DA1CA2" w:rsidP="00965206">
      <w:pPr>
        <w:ind w:left="720" w:firstLine="60"/>
        <w:jc w:val="both"/>
        <w:rPr>
          <w:i/>
          <w:iCs/>
        </w:rPr>
      </w:pPr>
    </w:p>
    <w:p w:rsidR="00DA1CA2" w:rsidRDefault="00DA1CA2" w:rsidP="00965206">
      <w:pPr>
        <w:ind w:left="720" w:firstLine="60"/>
        <w:jc w:val="both"/>
        <w:rPr>
          <w:i/>
          <w:iCs/>
        </w:rPr>
      </w:pPr>
    </w:p>
    <w:p w:rsidR="00DA1CA2" w:rsidRDefault="00DA1CA2" w:rsidP="00965206">
      <w:pPr>
        <w:ind w:left="720" w:firstLine="60"/>
        <w:jc w:val="both"/>
        <w:rPr>
          <w:i/>
          <w:iCs/>
        </w:rPr>
      </w:pPr>
    </w:p>
    <w:p w:rsidR="00DA1CA2" w:rsidRDefault="00DA1CA2" w:rsidP="00965206">
      <w:pPr>
        <w:ind w:left="720" w:firstLine="60"/>
        <w:jc w:val="both"/>
        <w:rPr>
          <w:i/>
          <w:iCs/>
        </w:rPr>
      </w:pPr>
    </w:p>
    <w:p w:rsidR="00DA1CA2" w:rsidRDefault="00DA1CA2" w:rsidP="00965206">
      <w:pPr>
        <w:ind w:left="720" w:firstLine="60"/>
        <w:jc w:val="both"/>
        <w:rPr>
          <w:i/>
          <w:iCs/>
        </w:rPr>
      </w:pPr>
    </w:p>
    <w:p w:rsidR="00E50600" w:rsidRDefault="00E50600" w:rsidP="00965206">
      <w:pPr>
        <w:ind w:left="720" w:firstLine="60"/>
        <w:jc w:val="both"/>
        <w:rPr>
          <w:i/>
          <w:iCs/>
        </w:rPr>
      </w:pPr>
    </w:p>
    <w:p w:rsidR="00DA1CA2" w:rsidRDefault="0010763E" w:rsidP="00DA1CA2">
      <w:pPr>
        <w:ind w:firstLine="720"/>
        <w:jc w:val="both"/>
        <w:rPr>
          <w:b/>
          <w:bCs/>
          <w:u w:val="single"/>
        </w:rPr>
      </w:pPr>
      <w:r w:rsidRPr="00AC15E6">
        <w:rPr>
          <w:b/>
          <w:bCs/>
          <w:u w:val="single"/>
        </w:rPr>
        <w:lastRenderedPageBreak/>
        <w:t>RECOMMENDED</w:t>
      </w:r>
    </w:p>
    <w:p w:rsidR="00DA1CA2" w:rsidRDefault="00DA1CA2" w:rsidP="00DA1CA2">
      <w:pPr>
        <w:ind w:firstLine="720"/>
        <w:jc w:val="both"/>
        <w:rPr>
          <w:b/>
          <w:bCs/>
          <w:u w:val="single"/>
        </w:rPr>
      </w:pPr>
    </w:p>
    <w:p w:rsidR="000E0F8F" w:rsidRDefault="000E0F8F" w:rsidP="000E0F8F">
      <w:pPr>
        <w:ind w:firstLine="720"/>
        <w:jc w:val="both"/>
      </w:pPr>
      <w:r>
        <w:t>1.</w:t>
      </w:r>
      <w:r>
        <w:tab/>
      </w:r>
      <w:r w:rsidRPr="00335B84">
        <w:t xml:space="preserve">THAT </w:t>
      </w:r>
      <w:r>
        <w:t xml:space="preserve">the report on Tabled Final Annual Operating and Capital MTREF for </w:t>
      </w:r>
      <w:r>
        <w:tab/>
      </w:r>
      <w:r>
        <w:tab/>
        <w:t>2017/2018 to 2019/2020, be hereby approved.</w:t>
      </w:r>
    </w:p>
    <w:p w:rsidR="00DA1CA2" w:rsidRDefault="00DA1CA2" w:rsidP="00DA1CA2">
      <w:pPr>
        <w:ind w:firstLine="720"/>
        <w:jc w:val="both"/>
        <w:rPr>
          <w:b/>
          <w:bCs/>
          <w:u w:val="single"/>
        </w:rPr>
      </w:pPr>
    </w:p>
    <w:p w:rsidR="00223D12" w:rsidRDefault="00DA1CA2" w:rsidP="00223D12">
      <w:pPr>
        <w:ind w:firstLine="720"/>
        <w:jc w:val="both"/>
        <w:rPr>
          <w:b/>
          <w:bCs/>
          <w:u w:val="single"/>
        </w:rPr>
      </w:pPr>
      <w:r w:rsidRPr="00DA1CA2">
        <w:rPr>
          <w:bCs/>
        </w:rPr>
        <w:t>2.</w:t>
      </w:r>
      <w:r w:rsidRPr="00DA1CA2">
        <w:rPr>
          <w:bCs/>
        </w:rPr>
        <w:tab/>
      </w:r>
      <w:r w:rsidR="00115E3B">
        <w:t xml:space="preserve">THAT the inputs and comments received during public participation </w:t>
      </w:r>
      <w:r>
        <w:tab/>
      </w:r>
      <w:r>
        <w:tab/>
      </w:r>
      <w:r>
        <w:tab/>
      </w:r>
      <w:r w:rsidR="00115E3B">
        <w:t xml:space="preserve">processes from Gauteng Provincial Treasury, National Treasury, MEC for </w:t>
      </w:r>
      <w:r w:rsidR="003412D4">
        <w:tab/>
      </w:r>
      <w:r>
        <w:tab/>
      </w:r>
      <w:r>
        <w:tab/>
      </w:r>
      <w:r w:rsidR="00115E3B">
        <w:t>Local Government, the local municipalities, the public and other stakehol</w:t>
      </w:r>
      <w:r w:rsidR="004E6E66">
        <w:t xml:space="preserve">ders </w:t>
      </w:r>
      <w:r w:rsidR="003412D4">
        <w:tab/>
      </w:r>
      <w:r>
        <w:tab/>
      </w:r>
      <w:r w:rsidR="004E6E66">
        <w:t>be duly noted and recorded.</w:t>
      </w:r>
    </w:p>
    <w:p w:rsidR="00223D12" w:rsidRDefault="00223D12" w:rsidP="00223D12">
      <w:pPr>
        <w:ind w:firstLine="720"/>
        <w:jc w:val="both"/>
        <w:rPr>
          <w:b/>
          <w:bCs/>
          <w:u w:val="single"/>
        </w:rPr>
      </w:pPr>
    </w:p>
    <w:p w:rsidR="00223D12" w:rsidRDefault="00223D12" w:rsidP="00223D12">
      <w:pPr>
        <w:ind w:firstLine="720"/>
        <w:jc w:val="both"/>
        <w:rPr>
          <w:b/>
          <w:bCs/>
          <w:u w:val="single"/>
        </w:rPr>
      </w:pPr>
      <w:r w:rsidRPr="00223D12">
        <w:rPr>
          <w:bCs/>
        </w:rPr>
        <w:t>3.</w:t>
      </w:r>
      <w:r w:rsidRPr="00223D12">
        <w:rPr>
          <w:bCs/>
        </w:rPr>
        <w:tab/>
      </w:r>
      <w:r w:rsidR="00115E3B">
        <w:t xml:space="preserve">THAT the final capital and operating budget for 2017/2018 be approved as </w:t>
      </w:r>
      <w:r w:rsidR="006D5C87">
        <w:tab/>
      </w:r>
      <w:r>
        <w:tab/>
      </w:r>
      <w:r w:rsidR="00115E3B">
        <w:t xml:space="preserve">per Annexure “A” to “E” in accordance with the requirements as set out in the </w:t>
      </w:r>
      <w:r w:rsidR="006D5C87">
        <w:tab/>
      </w:r>
      <w:r>
        <w:tab/>
      </w:r>
      <w:r w:rsidR="00115E3B">
        <w:t>MFMA</w:t>
      </w:r>
      <w:r w:rsidR="00E9738C">
        <w:t xml:space="preserve">:  </w:t>
      </w:r>
      <w:r w:rsidR="00115E3B">
        <w:t>Municipal Budget and Reporting Regulations</w:t>
      </w:r>
      <w:r w:rsidR="0034284B">
        <w:t xml:space="preserve"> (MBRR </w:t>
      </w:r>
      <w:r>
        <w:t xml:space="preserve">GN </w:t>
      </w:r>
      <w:r w:rsidR="0034284B">
        <w:t xml:space="preserve">393 of </w:t>
      </w:r>
      <w:r w:rsidR="00E9738C">
        <w:tab/>
      </w:r>
      <w:r w:rsidR="00E9738C">
        <w:tab/>
      </w:r>
      <w:r w:rsidR="0034284B">
        <w:t xml:space="preserve">2009) </w:t>
      </w:r>
      <w:r w:rsidR="00115E3B">
        <w:t xml:space="preserve">and MFMA: Municipal Standard Chart of Accounts </w:t>
      </w:r>
      <w:r w:rsidR="006D5C87">
        <w:tab/>
      </w:r>
      <w:r w:rsidR="00115E3B">
        <w:t>Regulations</w:t>
      </w:r>
      <w:r w:rsidR="0034284B">
        <w:t xml:space="preserve"> </w:t>
      </w:r>
      <w:r w:rsidR="00E9738C">
        <w:tab/>
      </w:r>
      <w:r w:rsidR="00E9738C">
        <w:tab/>
      </w:r>
      <w:r w:rsidR="00E9738C">
        <w:tab/>
      </w:r>
      <w:r w:rsidR="0034284B">
        <w:t>(MSCOA GNR. 312 of 2014)</w:t>
      </w:r>
      <w:r w:rsidR="006D5C87">
        <w:t>.</w:t>
      </w:r>
    </w:p>
    <w:p w:rsidR="00223D12" w:rsidRDefault="00223D12" w:rsidP="00223D12">
      <w:pPr>
        <w:ind w:firstLine="720"/>
        <w:jc w:val="both"/>
        <w:rPr>
          <w:b/>
          <w:bCs/>
          <w:u w:val="single"/>
        </w:rPr>
      </w:pPr>
    </w:p>
    <w:p w:rsidR="00ED630D" w:rsidRDefault="00223D12" w:rsidP="00ED630D">
      <w:pPr>
        <w:ind w:firstLine="720"/>
        <w:jc w:val="both"/>
        <w:rPr>
          <w:b/>
          <w:bCs/>
          <w:u w:val="single"/>
        </w:rPr>
      </w:pPr>
      <w:r w:rsidRPr="00223D12">
        <w:rPr>
          <w:bCs/>
        </w:rPr>
        <w:t>4.</w:t>
      </w:r>
      <w:r w:rsidRPr="00223D12">
        <w:rPr>
          <w:bCs/>
        </w:rPr>
        <w:tab/>
      </w:r>
      <w:r w:rsidR="00F6772D" w:rsidRPr="00F6772D">
        <w:t>THAT the proposed tariffs for</w:t>
      </w:r>
      <w:r w:rsidR="001A4853">
        <w:t xml:space="preserve"> all services as per Annexure “</w:t>
      </w:r>
      <w:r w:rsidR="00E421CD">
        <w:t>F</w:t>
      </w:r>
      <w:r w:rsidR="00F6772D" w:rsidRPr="00F6772D">
        <w:t xml:space="preserve">” be approved </w:t>
      </w:r>
      <w:r w:rsidR="00332A1D">
        <w:tab/>
      </w:r>
      <w:r w:rsidR="00332A1D">
        <w:tab/>
      </w:r>
      <w:r w:rsidR="00F6772D" w:rsidRPr="00F6772D">
        <w:t xml:space="preserve">in terms of the Tariff Policy and Section 75A of the Local Government </w:t>
      </w:r>
      <w:r w:rsidR="00332A1D">
        <w:tab/>
      </w:r>
      <w:r w:rsidR="00332A1D">
        <w:tab/>
      </w:r>
      <w:r w:rsidR="00332A1D">
        <w:tab/>
      </w:r>
      <w:r w:rsidR="00F6772D" w:rsidRPr="00F6772D">
        <w:t>Munici</w:t>
      </w:r>
      <w:r w:rsidR="00641568">
        <w:t>pal Systems Act, No 32 of 2000</w:t>
      </w:r>
      <w:r w:rsidR="006D5C87">
        <w:t>.</w:t>
      </w:r>
    </w:p>
    <w:p w:rsidR="00ED630D" w:rsidRDefault="00ED630D" w:rsidP="00ED630D">
      <w:pPr>
        <w:ind w:firstLine="720"/>
        <w:jc w:val="both"/>
        <w:rPr>
          <w:b/>
          <w:bCs/>
          <w:u w:val="single"/>
        </w:rPr>
      </w:pPr>
    </w:p>
    <w:p w:rsidR="00ED630D" w:rsidRDefault="00ED630D" w:rsidP="00ED630D">
      <w:pPr>
        <w:ind w:firstLine="720"/>
        <w:jc w:val="both"/>
        <w:rPr>
          <w:b/>
          <w:bCs/>
          <w:u w:val="single"/>
        </w:rPr>
      </w:pPr>
      <w:r>
        <w:rPr>
          <w:bCs/>
        </w:rPr>
        <w:t>5.</w:t>
      </w:r>
      <w:r>
        <w:rPr>
          <w:bCs/>
        </w:rPr>
        <w:tab/>
      </w:r>
      <w:r w:rsidR="00C43F51">
        <w:t xml:space="preserve">THAT the consolidated three year final Capital and Operational Budget as per </w:t>
      </w:r>
      <w:r w:rsidR="00332A1D">
        <w:tab/>
      </w:r>
      <w:r>
        <w:tab/>
      </w:r>
      <w:r w:rsidR="00C43F51">
        <w:t>Annexure “A” to “</w:t>
      </w:r>
      <w:r w:rsidR="00E421CD">
        <w:t>F</w:t>
      </w:r>
      <w:r w:rsidR="00C43F51">
        <w:t xml:space="preserve">” be submitted to National Treasury, MEC for Finance, </w:t>
      </w:r>
      <w:r w:rsidR="00332A1D">
        <w:tab/>
      </w:r>
      <w:r>
        <w:tab/>
      </w:r>
      <w:r w:rsidR="00C43F51">
        <w:t xml:space="preserve">MEC for Local Government, Auditor-General and SALGA within ten </w:t>
      </w:r>
      <w:r w:rsidR="00332A1D">
        <w:tab/>
      </w:r>
      <w:r>
        <w:tab/>
      </w:r>
      <w:r>
        <w:tab/>
      </w:r>
      <w:r w:rsidR="00C43F51">
        <w:t xml:space="preserve">working days of Council approval of the annual budget as per Regulation 18 </w:t>
      </w:r>
      <w:r>
        <w:tab/>
      </w:r>
      <w:r>
        <w:tab/>
      </w:r>
      <w:r w:rsidR="00C43F51">
        <w:t xml:space="preserve">of the MFMA: Municipal Budget and Reporting Regulations (MBRR GN 393 </w:t>
      </w:r>
      <w:r w:rsidR="00332A1D">
        <w:tab/>
      </w:r>
      <w:r>
        <w:tab/>
      </w:r>
      <w:r w:rsidR="00C43F51">
        <w:t>of 2009)</w:t>
      </w:r>
      <w:r w:rsidR="00332A1D">
        <w:t>.</w:t>
      </w:r>
    </w:p>
    <w:p w:rsidR="00ED630D" w:rsidRDefault="00ED630D" w:rsidP="00ED630D">
      <w:pPr>
        <w:ind w:firstLine="720"/>
        <w:jc w:val="both"/>
        <w:rPr>
          <w:b/>
          <w:bCs/>
          <w:u w:val="single"/>
        </w:rPr>
      </w:pPr>
    </w:p>
    <w:p w:rsidR="00D437C3" w:rsidRPr="00ED630D" w:rsidRDefault="00ED630D" w:rsidP="001D00DD">
      <w:pPr>
        <w:ind w:firstLine="720"/>
        <w:jc w:val="both"/>
        <w:rPr>
          <w:b/>
          <w:bCs/>
          <w:u w:val="single"/>
        </w:rPr>
      </w:pPr>
      <w:r w:rsidRPr="00ED630D">
        <w:rPr>
          <w:bCs/>
        </w:rPr>
        <w:t>6.</w:t>
      </w:r>
      <w:r>
        <w:tab/>
      </w:r>
      <w:r w:rsidR="00D437C3">
        <w:t xml:space="preserve">THAT </w:t>
      </w:r>
      <w:r w:rsidR="00C36D75">
        <w:t xml:space="preserve">the </w:t>
      </w:r>
      <w:r w:rsidR="00D437C3">
        <w:t xml:space="preserve">Council delegate the Executive Mayor to </w:t>
      </w:r>
      <w:r w:rsidR="00BE5422">
        <w:t>escalate the following</w:t>
      </w:r>
      <w:r w:rsidR="00186615">
        <w:tab/>
      </w:r>
      <w:r>
        <w:tab/>
      </w:r>
      <w:r w:rsidR="00C36D75">
        <w:tab/>
        <w:t>inter-</w:t>
      </w:r>
      <w:r w:rsidR="00BE5422">
        <w:t xml:space="preserve">governmental issues to the platform of the Premier’s Coordinating </w:t>
      </w:r>
      <w:r w:rsidR="00C36D75">
        <w:tab/>
      </w:r>
      <w:r w:rsidR="00C36D75">
        <w:tab/>
      </w:r>
      <w:r w:rsidR="00C36D75">
        <w:tab/>
      </w:r>
      <w:r w:rsidR="00BE5422">
        <w:t xml:space="preserve">Forum </w:t>
      </w:r>
      <w:r w:rsidR="00186615">
        <w:tab/>
        <w:t>(PCF):</w:t>
      </w:r>
    </w:p>
    <w:p w:rsidR="00BE5422" w:rsidRDefault="00BE5422" w:rsidP="001D00DD">
      <w:pPr>
        <w:pStyle w:val="ListParagraph"/>
        <w:spacing w:after="0" w:line="240" w:lineRule="auto"/>
      </w:pPr>
    </w:p>
    <w:p w:rsidR="00BE5422" w:rsidRDefault="00DA0F47" w:rsidP="001D00DD">
      <w:pPr>
        <w:numPr>
          <w:ilvl w:val="1"/>
          <w:numId w:val="1"/>
        </w:numPr>
        <w:tabs>
          <w:tab w:val="clear" w:pos="1080"/>
        </w:tabs>
        <w:ind w:firstLine="360"/>
        <w:jc w:val="both"/>
      </w:pPr>
      <w:r>
        <w:t>T</w:t>
      </w:r>
      <w:r w:rsidR="00BE5422">
        <w:t xml:space="preserve">he future long-term funding of the Sharpeville Heritage Precinct now </w:t>
      </w:r>
      <w:r w:rsidR="00186615">
        <w:tab/>
      </w:r>
      <w:r w:rsidR="00186615">
        <w:tab/>
      </w:r>
      <w:r w:rsidR="00BE5422">
        <w:t xml:space="preserve">that has been recognised as a National heritage site, as well as on the </w:t>
      </w:r>
      <w:r w:rsidR="00186615">
        <w:tab/>
      </w:r>
      <w:r w:rsidR="00186615">
        <w:tab/>
      </w:r>
      <w:r w:rsidR="00BE5422">
        <w:t>Boipatong Memorial;</w:t>
      </w:r>
    </w:p>
    <w:p w:rsidR="00DA0F47" w:rsidRDefault="00DA0F47" w:rsidP="00DA0F47">
      <w:pPr>
        <w:ind w:left="1080"/>
        <w:jc w:val="both"/>
      </w:pPr>
    </w:p>
    <w:p w:rsidR="00BE5422" w:rsidRDefault="00DA0F47" w:rsidP="0007171F">
      <w:pPr>
        <w:numPr>
          <w:ilvl w:val="1"/>
          <w:numId w:val="1"/>
        </w:numPr>
        <w:tabs>
          <w:tab w:val="clear" w:pos="1080"/>
        </w:tabs>
        <w:ind w:firstLine="360"/>
        <w:jc w:val="both"/>
      </w:pPr>
      <w:r>
        <w:t>The</w:t>
      </w:r>
      <w:r w:rsidR="00BE5422">
        <w:t xml:space="preserve"> provision of funding for the Disaster Management function with </w:t>
      </w:r>
      <w:r w:rsidR="00186615">
        <w:tab/>
      </w:r>
      <w:r w:rsidR="00186615">
        <w:tab/>
      </w:r>
      <w:r w:rsidR="00BE5422">
        <w:t xml:space="preserve">specific reference to Schedule 4 – Part A of the Constitution </w:t>
      </w:r>
      <w:r w:rsidR="00186615">
        <w:tab/>
      </w:r>
      <w:r w:rsidR="00186615">
        <w:tab/>
      </w:r>
      <w:r w:rsidR="00186615">
        <w:tab/>
      </w:r>
      <w:r w:rsidR="00BE5422">
        <w:t>(108/1996);</w:t>
      </w:r>
    </w:p>
    <w:p w:rsidR="006E1E3C" w:rsidRDefault="006E1E3C" w:rsidP="0007171F">
      <w:pPr>
        <w:ind w:left="1440"/>
        <w:jc w:val="both"/>
      </w:pPr>
    </w:p>
    <w:p w:rsidR="0007171F" w:rsidRDefault="006E1E3C" w:rsidP="0007171F">
      <w:pPr>
        <w:jc w:val="both"/>
      </w:pPr>
      <w:r>
        <w:tab/>
      </w:r>
      <w:r>
        <w:tab/>
      </w:r>
      <w:r w:rsidR="00DA0F47">
        <w:t>P</w:t>
      </w:r>
      <w:r w:rsidR="00BE5422">
        <w:t>otential infrastructure funding for:</w:t>
      </w:r>
    </w:p>
    <w:p w:rsidR="0007171F" w:rsidRDefault="0007171F" w:rsidP="0007171F">
      <w:pPr>
        <w:jc w:val="both"/>
      </w:pPr>
    </w:p>
    <w:p w:rsidR="0007171F" w:rsidRDefault="0007171F" w:rsidP="0007171F">
      <w:pPr>
        <w:jc w:val="both"/>
      </w:pPr>
      <w:r>
        <w:tab/>
      </w:r>
      <w:r>
        <w:tab/>
        <w:t>i.</w:t>
      </w:r>
      <w:r>
        <w:tab/>
      </w:r>
      <w:r w:rsidR="00BE5422">
        <w:t>Refurbishing the taxi ran</w:t>
      </w:r>
      <w:r w:rsidR="001107DC">
        <w:t>ks;</w:t>
      </w:r>
    </w:p>
    <w:p w:rsidR="00C30415" w:rsidRDefault="0007171F" w:rsidP="0007171F">
      <w:pPr>
        <w:jc w:val="both"/>
      </w:pPr>
      <w:r>
        <w:tab/>
      </w:r>
      <w:r>
        <w:tab/>
        <w:t>ii.</w:t>
      </w:r>
      <w:r>
        <w:tab/>
      </w:r>
      <w:r w:rsidR="00BE5422">
        <w:t>Refurbishing licensing service centres</w:t>
      </w:r>
      <w:r w:rsidR="001107DC">
        <w:t>;</w:t>
      </w:r>
    </w:p>
    <w:p w:rsidR="0007171F" w:rsidRDefault="0007171F" w:rsidP="0007171F">
      <w:pPr>
        <w:jc w:val="both"/>
      </w:pPr>
      <w:r>
        <w:tab/>
      </w:r>
      <w:r>
        <w:tab/>
        <w:t>iii.</w:t>
      </w:r>
      <w:r>
        <w:tab/>
      </w:r>
      <w:r w:rsidR="00BE5422">
        <w:t>Museums</w:t>
      </w:r>
      <w:r w:rsidR="001107DC">
        <w:t>;</w:t>
      </w:r>
    </w:p>
    <w:p w:rsidR="0007171F" w:rsidRDefault="0007171F" w:rsidP="0007171F">
      <w:pPr>
        <w:jc w:val="both"/>
      </w:pPr>
      <w:r>
        <w:tab/>
      </w:r>
      <w:r>
        <w:tab/>
        <w:t>iv.</w:t>
      </w:r>
      <w:r>
        <w:tab/>
      </w:r>
      <w:r w:rsidR="00BE5422">
        <w:t>Theatres</w:t>
      </w:r>
      <w:r w:rsidR="001107DC">
        <w:t>;  and</w:t>
      </w:r>
    </w:p>
    <w:p w:rsidR="00BE5422" w:rsidRDefault="0007171F" w:rsidP="0007171F">
      <w:pPr>
        <w:jc w:val="both"/>
      </w:pPr>
      <w:r>
        <w:tab/>
      </w:r>
      <w:r>
        <w:tab/>
        <w:t>v.</w:t>
      </w:r>
      <w:r>
        <w:tab/>
      </w:r>
      <w:r w:rsidR="00BE5422">
        <w:t>Municipal Administrative buildings.</w:t>
      </w:r>
    </w:p>
    <w:p w:rsidR="0026327B" w:rsidRDefault="0026327B" w:rsidP="002F440C">
      <w:pPr>
        <w:ind w:left="2160" w:hanging="810"/>
      </w:pPr>
    </w:p>
    <w:p w:rsidR="0026327B" w:rsidRDefault="0026327B" w:rsidP="0026327B"/>
    <w:p w:rsidR="0026327B" w:rsidRDefault="00482F9F" w:rsidP="0026327B">
      <w:pPr>
        <w:rPr>
          <w:sz w:val="18"/>
          <w:szCs w:val="18"/>
        </w:rPr>
      </w:pPr>
      <w:r>
        <w:rPr>
          <w:sz w:val="18"/>
          <w:szCs w:val="18"/>
        </w:rPr>
        <w:t>g:\Legal&amp;Support\CommitteeSection\</w:t>
      </w:r>
    </w:p>
    <w:p w:rsidR="00482F9F" w:rsidRPr="00482F9F" w:rsidRDefault="007709B0" w:rsidP="0026327B">
      <w:pPr>
        <w:rPr>
          <w:sz w:val="18"/>
          <w:szCs w:val="18"/>
        </w:rPr>
      </w:pPr>
      <w:r>
        <w:rPr>
          <w:sz w:val="18"/>
          <w:szCs w:val="18"/>
        </w:rPr>
        <w:t>201705\</w:t>
      </w:r>
      <w:r w:rsidR="006E1E3C">
        <w:rPr>
          <w:sz w:val="18"/>
          <w:szCs w:val="18"/>
        </w:rPr>
        <w:t>a1631.c97</w:t>
      </w:r>
    </w:p>
    <w:sectPr w:rsidR="00482F9F" w:rsidRPr="00482F9F" w:rsidSect="00D665E9">
      <w:headerReference w:type="default" r:id="rId8"/>
      <w:footerReference w:type="default" r:id="rId9"/>
      <w:pgSz w:w="11906" w:h="16838"/>
      <w:pgMar w:top="1350" w:right="1466" w:bottom="1440" w:left="1440" w:header="4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75" w:rsidRDefault="00C36D75" w:rsidP="00181D2D">
      <w:r>
        <w:separator/>
      </w:r>
    </w:p>
  </w:endnote>
  <w:endnote w:type="continuationSeparator" w:id="0">
    <w:p w:rsidR="00C36D75" w:rsidRDefault="00C36D75" w:rsidP="0018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75" w:rsidRDefault="00C36D75">
    <w:pPr>
      <w:pStyle w:val="Footer"/>
      <w:jc w:val="right"/>
    </w:pPr>
  </w:p>
  <w:p w:rsidR="00C36D75" w:rsidRDefault="00C36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75" w:rsidRDefault="00C36D75" w:rsidP="00181D2D">
      <w:r>
        <w:separator/>
      </w:r>
    </w:p>
  </w:footnote>
  <w:footnote w:type="continuationSeparator" w:id="0">
    <w:p w:rsidR="00C36D75" w:rsidRDefault="00C36D75" w:rsidP="00181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75" w:rsidRPr="007D3A35" w:rsidRDefault="00C36D75" w:rsidP="00522486">
    <w:pPr>
      <w:pStyle w:val="Header"/>
      <w:tabs>
        <w:tab w:val="clear" w:pos="4680"/>
        <w:tab w:val="clear" w:pos="9360"/>
      </w:tabs>
      <w:rPr>
        <w:b/>
      </w:rPr>
    </w:pPr>
    <w:r w:rsidRPr="007D3A35">
      <w:rPr>
        <w:b/>
      </w:rPr>
      <w:tab/>
    </w:r>
    <w:r w:rsidRPr="007D3A35">
      <w:rPr>
        <w:b/>
      </w:rPr>
      <w:tab/>
    </w:r>
    <w:r w:rsidRPr="007D3A35">
      <w:rPr>
        <w:b/>
      </w:rPr>
      <w:tab/>
    </w:r>
    <w:r w:rsidRPr="007D3A35">
      <w:rPr>
        <w:b/>
      </w:rPr>
      <w:tab/>
    </w:r>
    <w:r w:rsidRPr="007D3A35">
      <w:rPr>
        <w:b/>
      </w:rPr>
      <w:tab/>
    </w:r>
    <w:r w:rsidRPr="007D3A35">
      <w:rPr>
        <w:b/>
      </w:rPr>
      <w:tab/>
    </w:r>
    <w:r w:rsidRPr="007D3A35">
      <w:rPr>
        <w:b/>
      </w:rPr>
      <w:tab/>
    </w:r>
    <w:r w:rsidRPr="007D3A35">
      <w:rPr>
        <w:b/>
      </w:rPr>
      <w:tab/>
      <w:t xml:space="preserve">PG </w:t>
    </w:r>
    <w:r w:rsidR="00972FD0" w:rsidRPr="007D3A35">
      <w:rPr>
        <w:b/>
      </w:rPr>
      <w:fldChar w:fldCharType="begin"/>
    </w:r>
    <w:r w:rsidRPr="007D3A35">
      <w:rPr>
        <w:b/>
      </w:rPr>
      <w:instrText xml:space="preserve"> PAGE   \* MERGEFORMAT </w:instrText>
    </w:r>
    <w:r w:rsidR="00972FD0" w:rsidRPr="007D3A35">
      <w:rPr>
        <w:b/>
      </w:rPr>
      <w:fldChar w:fldCharType="separate"/>
    </w:r>
    <w:r w:rsidR="00563087">
      <w:rPr>
        <w:b/>
        <w:noProof/>
      </w:rPr>
      <w:t>1</w:t>
    </w:r>
    <w:r w:rsidR="00972FD0" w:rsidRPr="007D3A35">
      <w:rPr>
        <w:b/>
      </w:rPr>
      <w:fldChar w:fldCharType="end"/>
    </w:r>
  </w:p>
  <w:p w:rsidR="00C36D75" w:rsidRPr="00522486" w:rsidRDefault="00C36D75" w:rsidP="00522486">
    <w:pPr>
      <w:pStyle w:val="Header"/>
      <w:tabs>
        <w:tab w:val="clear" w:pos="4680"/>
        <w:tab w:val="clear" w:pos="9360"/>
      </w:tabs>
      <w:rPr>
        <w:b/>
      </w:rPr>
    </w:pPr>
    <w:r>
      <w:rPr>
        <w:b/>
      </w:rPr>
      <w:tab/>
    </w:r>
    <w:r>
      <w:rPr>
        <w:b/>
      </w:rPr>
      <w:tab/>
    </w:r>
    <w:r>
      <w:rPr>
        <w:b/>
      </w:rPr>
      <w:tab/>
    </w:r>
    <w:r>
      <w:rPr>
        <w:b/>
      </w:rPr>
      <w:tab/>
    </w:r>
    <w:r>
      <w:rPr>
        <w:b/>
      </w:rPr>
      <w:tab/>
    </w:r>
    <w:r>
      <w:rPr>
        <w:b/>
      </w:rPr>
      <w:tab/>
    </w:r>
    <w:r>
      <w:rPr>
        <w:b/>
      </w:rPr>
      <w:tab/>
    </w:r>
    <w:r>
      <w:rPr>
        <w:b/>
      </w:rPr>
      <w:tab/>
    </w:r>
    <w:r>
      <w:rPr>
        <w:b/>
        <w:u w:val="single"/>
      </w:rPr>
      <w:t>COUNCIL 97 – 2017-05-31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52D9B"/>
    <w:multiLevelType w:val="hybridMultilevel"/>
    <w:tmpl w:val="EB9C4AFA"/>
    <w:lvl w:ilvl="0" w:tplc="DE46B87C">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1">
    <w:nsid w:val="0F613DC3"/>
    <w:multiLevelType w:val="hybridMultilevel"/>
    <w:tmpl w:val="2BACCE6A"/>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10606ADF"/>
    <w:multiLevelType w:val="hybridMultilevel"/>
    <w:tmpl w:val="89B2FE86"/>
    <w:lvl w:ilvl="0" w:tplc="A6BAA08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8D477E2"/>
    <w:multiLevelType w:val="hybridMultilevel"/>
    <w:tmpl w:val="D2BC2C0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3E6748B2"/>
    <w:multiLevelType w:val="hybridMultilevel"/>
    <w:tmpl w:val="4CF49654"/>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8756E98"/>
    <w:multiLevelType w:val="hybridMultilevel"/>
    <w:tmpl w:val="F5820946"/>
    <w:lvl w:ilvl="0" w:tplc="04090001">
      <w:start w:val="1"/>
      <w:numFmt w:val="bullet"/>
      <w:lvlText w:val=""/>
      <w:lvlJc w:val="left"/>
      <w:pPr>
        <w:ind w:left="2138" w:hanging="360"/>
      </w:pPr>
      <w:rPr>
        <w:rFonts w:ascii="Symbol" w:hAnsi="Symbol" w:cs="Symbol"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cs="Wingdings" w:hint="default"/>
      </w:rPr>
    </w:lvl>
    <w:lvl w:ilvl="3" w:tplc="04090001">
      <w:start w:val="1"/>
      <w:numFmt w:val="bullet"/>
      <w:lvlText w:val=""/>
      <w:lvlJc w:val="left"/>
      <w:pPr>
        <w:ind w:left="4298" w:hanging="360"/>
      </w:pPr>
      <w:rPr>
        <w:rFonts w:ascii="Symbol" w:hAnsi="Symbol" w:cs="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cs="Wingdings" w:hint="default"/>
      </w:rPr>
    </w:lvl>
    <w:lvl w:ilvl="6" w:tplc="04090001">
      <w:start w:val="1"/>
      <w:numFmt w:val="bullet"/>
      <w:lvlText w:val=""/>
      <w:lvlJc w:val="left"/>
      <w:pPr>
        <w:ind w:left="6458" w:hanging="360"/>
      </w:pPr>
      <w:rPr>
        <w:rFonts w:ascii="Symbol" w:hAnsi="Symbol" w:cs="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cs="Wingdings" w:hint="default"/>
      </w:rPr>
    </w:lvl>
  </w:abstractNum>
  <w:abstractNum w:abstractNumId="6">
    <w:nsid w:val="53EF4AF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0816FAE"/>
    <w:multiLevelType w:val="hybridMultilevel"/>
    <w:tmpl w:val="5766432A"/>
    <w:lvl w:ilvl="0" w:tplc="1C090001">
      <w:start w:val="1"/>
      <w:numFmt w:val="bullet"/>
      <w:lvlText w:val=""/>
      <w:lvlJc w:val="left"/>
      <w:pPr>
        <w:ind w:left="1353" w:hanging="360"/>
      </w:pPr>
      <w:rPr>
        <w:rFonts w:ascii="Symbol" w:hAnsi="Symbol" w:hint="default"/>
      </w:rPr>
    </w:lvl>
    <w:lvl w:ilvl="1" w:tplc="1C090003">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8">
    <w:nsid w:val="679224E7"/>
    <w:multiLevelType w:val="multilevel"/>
    <w:tmpl w:val="F5D2405C"/>
    <w:lvl w:ilvl="0">
      <w:start w:val="3"/>
      <w:numFmt w:val="decimal"/>
      <w:lvlText w:val="%1"/>
      <w:lvlJc w:val="left"/>
      <w:pPr>
        <w:tabs>
          <w:tab w:val="num" w:pos="480"/>
        </w:tabs>
        <w:ind w:left="480" w:hanging="480"/>
      </w:pPr>
      <w:rPr>
        <w:rFonts w:hint="default"/>
      </w:rPr>
    </w:lvl>
    <w:lvl w:ilvl="1">
      <w:start w:val="3"/>
      <w:numFmt w:val="decimal"/>
      <w:lvlText w:val="%2.2"/>
      <w:lvlJc w:val="left"/>
      <w:pPr>
        <w:tabs>
          <w:tab w:val="num" w:pos="1080"/>
        </w:tabs>
        <w:ind w:left="1080" w:hanging="3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4617585"/>
    <w:multiLevelType w:val="multilevel"/>
    <w:tmpl w:val="0C7EA7C6"/>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854" w:hanging="504"/>
      </w:pPr>
      <w:rPr>
        <w:rFonts w:ascii="Times New Roman" w:hAnsi="Times New Roman" w:cs="Times New Roman" w:hint="default"/>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A9E5A18"/>
    <w:multiLevelType w:val="hybridMultilevel"/>
    <w:tmpl w:val="2C1481E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5"/>
  </w:num>
  <w:num w:numId="6">
    <w:abstractNumId w:val="7"/>
  </w:num>
  <w:num w:numId="7">
    <w:abstractNumId w:val="3"/>
  </w:num>
  <w:num w:numId="8">
    <w:abstractNumId w:val="0"/>
  </w:num>
  <w:num w:numId="9">
    <w:abstractNumId w:val="1"/>
  </w:num>
  <w:num w:numId="10">
    <w:abstractNumId w:val="10"/>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C4"/>
    <w:rsid w:val="00000F9A"/>
    <w:rsid w:val="00002058"/>
    <w:rsid w:val="0000334B"/>
    <w:rsid w:val="000054B8"/>
    <w:rsid w:val="00007E1D"/>
    <w:rsid w:val="000127DA"/>
    <w:rsid w:val="00012927"/>
    <w:rsid w:val="00013B00"/>
    <w:rsid w:val="000146F9"/>
    <w:rsid w:val="0001492B"/>
    <w:rsid w:val="00017530"/>
    <w:rsid w:val="00021B14"/>
    <w:rsid w:val="00021B2D"/>
    <w:rsid w:val="00033339"/>
    <w:rsid w:val="000341BF"/>
    <w:rsid w:val="00036096"/>
    <w:rsid w:val="000368D3"/>
    <w:rsid w:val="00037C79"/>
    <w:rsid w:val="000403B6"/>
    <w:rsid w:val="00041EA1"/>
    <w:rsid w:val="00042CB2"/>
    <w:rsid w:val="00043E6C"/>
    <w:rsid w:val="00045D58"/>
    <w:rsid w:val="00052BED"/>
    <w:rsid w:val="000545D4"/>
    <w:rsid w:val="000570B9"/>
    <w:rsid w:val="00061A06"/>
    <w:rsid w:val="0007171F"/>
    <w:rsid w:val="00073182"/>
    <w:rsid w:val="0007346E"/>
    <w:rsid w:val="00073999"/>
    <w:rsid w:val="00073E8B"/>
    <w:rsid w:val="000740CE"/>
    <w:rsid w:val="00074E2B"/>
    <w:rsid w:val="00074F54"/>
    <w:rsid w:val="00075FD6"/>
    <w:rsid w:val="00080DA1"/>
    <w:rsid w:val="000814D9"/>
    <w:rsid w:val="0008247A"/>
    <w:rsid w:val="00082B76"/>
    <w:rsid w:val="0008572C"/>
    <w:rsid w:val="000906AA"/>
    <w:rsid w:val="00092DCA"/>
    <w:rsid w:val="00093794"/>
    <w:rsid w:val="00095308"/>
    <w:rsid w:val="000A0CC7"/>
    <w:rsid w:val="000A2F8C"/>
    <w:rsid w:val="000B16C7"/>
    <w:rsid w:val="000B1BB4"/>
    <w:rsid w:val="000B524D"/>
    <w:rsid w:val="000B5EE0"/>
    <w:rsid w:val="000B6319"/>
    <w:rsid w:val="000B73B4"/>
    <w:rsid w:val="000C504F"/>
    <w:rsid w:val="000C764A"/>
    <w:rsid w:val="000D08E1"/>
    <w:rsid w:val="000D4D1A"/>
    <w:rsid w:val="000D5C5B"/>
    <w:rsid w:val="000D6304"/>
    <w:rsid w:val="000E0F8F"/>
    <w:rsid w:val="000E1E1F"/>
    <w:rsid w:val="000E4BCD"/>
    <w:rsid w:val="000F0CE9"/>
    <w:rsid w:val="000F6887"/>
    <w:rsid w:val="00102474"/>
    <w:rsid w:val="0010399E"/>
    <w:rsid w:val="00103D02"/>
    <w:rsid w:val="00103DC8"/>
    <w:rsid w:val="00104639"/>
    <w:rsid w:val="0010587C"/>
    <w:rsid w:val="0010763E"/>
    <w:rsid w:val="001107DC"/>
    <w:rsid w:val="00112929"/>
    <w:rsid w:val="001133F5"/>
    <w:rsid w:val="00114398"/>
    <w:rsid w:val="00115E3B"/>
    <w:rsid w:val="00116FF3"/>
    <w:rsid w:val="00117918"/>
    <w:rsid w:val="001237AE"/>
    <w:rsid w:val="00123DAD"/>
    <w:rsid w:val="00124139"/>
    <w:rsid w:val="00126FA6"/>
    <w:rsid w:val="001368FE"/>
    <w:rsid w:val="001425AD"/>
    <w:rsid w:val="00147C0C"/>
    <w:rsid w:val="00150B80"/>
    <w:rsid w:val="00151B94"/>
    <w:rsid w:val="001532D4"/>
    <w:rsid w:val="001538A6"/>
    <w:rsid w:val="00154AFE"/>
    <w:rsid w:val="00155E10"/>
    <w:rsid w:val="00156E04"/>
    <w:rsid w:val="0015793A"/>
    <w:rsid w:val="00164CE0"/>
    <w:rsid w:val="00164F7A"/>
    <w:rsid w:val="00165CD6"/>
    <w:rsid w:val="00166241"/>
    <w:rsid w:val="001702A6"/>
    <w:rsid w:val="001723F2"/>
    <w:rsid w:val="001778F1"/>
    <w:rsid w:val="00177DBD"/>
    <w:rsid w:val="001803EF"/>
    <w:rsid w:val="00180B05"/>
    <w:rsid w:val="00181621"/>
    <w:rsid w:val="00181D2D"/>
    <w:rsid w:val="00181FB3"/>
    <w:rsid w:val="00183B4C"/>
    <w:rsid w:val="00183C03"/>
    <w:rsid w:val="001846AF"/>
    <w:rsid w:val="001853CD"/>
    <w:rsid w:val="00186615"/>
    <w:rsid w:val="00186937"/>
    <w:rsid w:val="00186DC1"/>
    <w:rsid w:val="001937B8"/>
    <w:rsid w:val="00193D11"/>
    <w:rsid w:val="00195078"/>
    <w:rsid w:val="001964A8"/>
    <w:rsid w:val="00197604"/>
    <w:rsid w:val="001A06AF"/>
    <w:rsid w:val="001A153A"/>
    <w:rsid w:val="001A270A"/>
    <w:rsid w:val="001A2BC9"/>
    <w:rsid w:val="001A4853"/>
    <w:rsid w:val="001B0ED5"/>
    <w:rsid w:val="001B3FF7"/>
    <w:rsid w:val="001B5277"/>
    <w:rsid w:val="001B5558"/>
    <w:rsid w:val="001B6E86"/>
    <w:rsid w:val="001B79C6"/>
    <w:rsid w:val="001C50DF"/>
    <w:rsid w:val="001C5572"/>
    <w:rsid w:val="001D00DD"/>
    <w:rsid w:val="001D18F5"/>
    <w:rsid w:val="001D3CE3"/>
    <w:rsid w:val="001D3D55"/>
    <w:rsid w:val="001E4685"/>
    <w:rsid w:val="001E60D8"/>
    <w:rsid w:val="001E61AE"/>
    <w:rsid w:val="001E7E0F"/>
    <w:rsid w:val="001F6A82"/>
    <w:rsid w:val="00201DB6"/>
    <w:rsid w:val="00203FE4"/>
    <w:rsid w:val="00204DBA"/>
    <w:rsid w:val="00205CCA"/>
    <w:rsid w:val="00205F08"/>
    <w:rsid w:val="00207B96"/>
    <w:rsid w:val="00211755"/>
    <w:rsid w:val="00214B16"/>
    <w:rsid w:val="00221B2F"/>
    <w:rsid w:val="00223D12"/>
    <w:rsid w:val="00226074"/>
    <w:rsid w:val="002260C9"/>
    <w:rsid w:val="00230C57"/>
    <w:rsid w:val="002333BC"/>
    <w:rsid w:val="00233595"/>
    <w:rsid w:val="002341FB"/>
    <w:rsid w:val="00240E8C"/>
    <w:rsid w:val="00242EE3"/>
    <w:rsid w:val="0024347A"/>
    <w:rsid w:val="00243CDB"/>
    <w:rsid w:val="002501F7"/>
    <w:rsid w:val="00251863"/>
    <w:rsid w:val="00252A99"/>
    <w:rsid w:val="002530DF"/>
    <w:rsid w:val="002621E8"/>
    <w:rsid w:val="0026327B"/>
    <w:rsid w:val="002657F1"/>
    <w:rsid w:val="00265834"/>
    <w:rsid w:val="00265B3A"/>
    <w:rsid w:val="00266334"/>
    <w:rsid w:val="002663B3"/>
    <w:rsid w:val="002679EE"/>
    <w:rsid w:val="00267EE6"/>
    <w:rsid w:val="00267F5F"/>
    <w:rsid w:val="002732C4"/>
    <w:rsid w:val="00273D4D"/>
    <w:rsid w:val="002747D8"/>
    <w:rsid w:val="002778EC"/>
    <w:rsid w:val="002803BB"/>
    <w:rsid w:val="002809DD"/>
    <w:rsid w:val="00282AEA"/>
    <w:rsid w:val="00285655"/>
    <w:rsid w:val="0028572A"/>
    <w:rsid w:val="00285790"/>
    <w:rsid w:val="002875EF"/>
    <w:rsid w:val="00290AC7"/>
    <w:rsid w:val="002922C8"/>
    <w:rsid w:val="00293899"/>
    <w:rsid w:val="002952AA"/>
    <w:rsid w:val="002A097C"/>
    <w:rsid w:val="002A199A"/>
    <w:rsid w:val="002A2723"/>
    <w:rsid w:val="002A2B97"/>
    <w:rsid w:val="002A2BD7"/>
    <w:rsid w:val="002A5D22"/>
    <w:rsid w:val="002A667D"/>
    <w:rsid w:val="002A7F17"/>
    <w:rsid w:val="002A7FBA"/>
    <w:rsid w:val="002B1CF3"/>
    <w:rsid w:val="002B3EBF"/>
    <w:rsid w:val="002B5F3E"/>
    <w:rsid w:val="002C322E"/>
    <w:rsid w:val="002C453F"/>
    <w:rsid w:val="002C5B61"/>
    <w:rsid w:val="002C6212"/>
    <w:rsid w:val="002C7CEC"/>
    <w:rsid w:val="002D0059"/>
    <w:rsid w:val="002D0BDE"/>
    <w:rsid w:val="002D1FA2"/>
    <w:rsid w:val="002D7387"/>
    <w:rsid w:val="002E04B3"/>
    <w:rsid w:val="002E1E90"/>
    <w:rsid w:val="002E4707"/>
    <w:rsid w:val="002E634B"/>
    <w:rsid w:val="002E6826"/>
    <w:rsid w:val="002F0D74"/>
    <w:rsid w:val="002F262D"/>
    <w:rsid w:val="002F328E"/>
    <w:rsid w:val="002F440C"/>
    <w:rsid w:val="003025A4"/>
    <w:rsid w:val="00304232"/>
    <w:rsid w:val="00305E0E"/>
    <w:rsid w:val="0030624B"/>
    <w:rsid w:val="00307098"/>
    <w:rsid w:val="00307DA7"/>
    <w:rsid w:val="00311809"/>
    <w:rsid w:val="00311971"/>
    <w:rsid w:val="00315FD4"/>
    <w:rsid w:val="00320C59"/>
    <w:rsid w:val="0032623D"/>
    <w:rsid w:val="003276D4"/>
    <w:rsid w:val="00327FCA"/>
    <w:rsid w:val="00331BDD"/>
    <w:rsid w:val="00332A1D"/>
    <w:rsid w:val="00333493"/>
    <w:rsid w:val="00333B74"/>
    <w:rsid w:val="00335B84"/>
    <w:rsid w:val="003360FF"/>
    <w:rsid w:val="00340D06"/>
    <w:rsid w:val="003412D4"/>
    <w:rsid w:val="0034284B"/>
    <w:rsid w:val="0034544E"/>
    <w:rsid w:val="0034685E"/>
    <w:rsid w:val="00346FB1"/>
    <w:rsid w:val="00352A22"/>
    <w:rsid w:val="003535FE"/>
    <w:rsid w:val="003575AE"/>
    <w:rsid w:val="003606C6"/>
    <w:rsid w:val="00361D48"/>
    <w:rsid w:val="003633D3"/>
    <w:rsid w:val="0036401F"/>
    <w:rsid w:val="00365242"/>
    <w:rsid w:val="003673DC"/>
    <w:rsid w:val="00372E99"/>
    <w:rsid w:val="00375CBD"/>
    <w:rsid w:val="00377E4D"/>
    <w:rsid w:val="003811F2"/>
    <w:rsid w:val="00382A80"/>
    <w:rsid w:val="0038646C"/>
    <w:rsid w:val="003906F5"/>
    <w:rsid w:val="00394152"/>
    <w:rsid w:val="003966E4"/>
    <w:rsid w:val="003A0815"/>
    <w:rsid w:val="003A18D8"/>
    <w:rsid w:val="003A1944"/>
    <w:rsid w:val="003A46E4"/>
    <w:rsid w:val="003A49DC"/>
    <w:rsid w:val="003A541E"/>
    <w:rsid w:val="003A7046"/>
    <w:rsid w:val="003B1355"/>
    <w:rsid w:val="003B2EF5"/>
    <w:rsid w:val="003B3D66"/>
    <w:rsid w:val="003C4993"/>
    <w:rsid w:val="003D52B3"/>
    <w:rsid w:val="003D633E"/>
    <w:rsid w:val="003E0822"/>
    <w:rsid w:val="003E1451"/>
    <w:rsid w:val="003E2174"/>
    <w:rsid w:val="003E3795"/>
    <w:rsid w:val="003E5269"/>
    <w:rsid w:val="003F1293"/>
    <w:rsid w:val="003F3682"/>
    <w:rsid w:val="003F3CA9"/>
    <w:rsid w:val="003F3F8E"/>
    <w:rsid w:val="003F60A3"/>
    <w:rsid w:val="003F6745"/>
    <w:rsid w:val="00412484"/>
    <w:rsid w:val="00412931"/>
    <w:rsid w:val="004167CF"/>
    <w:rsid w:val="0041736B"/>
    <w:rsid w:val="004173BF"/>
    <w:rsid w:val="00417EBE"/>
    <w:rsid w:val="00420C36"/>
    <w:rsid w:val="00421A1B"/>
    <w:rsid w:val="004270BE"/>
    <w:rsid w:val="00435229"/>
    <w:rsid w:val="004401F2"/>
    <w:rsid w:val="0044079E"/>
    <w:rsid w:val="004428A6"/>
    <w:rsid w:val="00447A01"/>
    <w:rsid w:val="004571EF"/>
    <w:rsid w:val="00463091"/>
    <w:rsid w:val="00465FFF"/>
    <w:rsid w:val="00467E8B"/>
    <w:rsid w:val="004707B8"/>
    <w:rsid w:val="0047745E"/>
    <w:rsid w:val="00477540"/>
    <w:rsid w:val="00477D5F"/>
    <w:rsid w:val="00482A51"/>
    <w:rsid w:val="00482F9F"/>
    <w:rsid w:val="00483387"/>
    <w:rsid w:val="00486A63"/>
    <w:rsid w:val="004900E4"/>
    <w:rsid w:val="00491EDC"/>
    <w:rsid w:val="00494DFD"/>
    <w:rsid w:val="004A063E"/>
    <w:rsid w:val="004A2815"/>
    <w:rsid w:val="004A39AB"/>
    <w:rsid w:val="004B0EBB"/>
    <w:rsid w:val="004B1D78"/>
    <w:rsid w:val="004B56BE"/>
    <w:rsid w:val="004B5E10"/>
    <w:rsid w:val="004C0F31"/>
    <w:rsid w:val="004C1A9F"/>
    <w:rsid w:val="004C1B40"/>
    <w:rsid w:val="004C63EE"/>
    <w:rsid w:val="004C686B"/>
    <w:rsid w:val="004D1E7B"/>
    <w:rsid w:val="004D3E62"/>
    <w:rsid w:val="004D43E8"/>
    <w:rsid w:val="004D4CBC"/>
    <w:rsid w:val="004E06B7"/>
    <w:rsid w:val="004E34E4"/>
    <w:rsid w:val="004E6E66"/>
    <w:rsid w:val="004F07D0"/>
    <w:rsid w:val="004F18AC"/>
    <w:rsid w:val="004F18DD"/>
    <w:rsid w:val="004F1B0D"/>
    <w:rsid w:val="004F34B0"/>
    <w:rsid w:val="004F37BE"/>
    <w:rsid w:val="004F3924"/>
    <w:rsid w:val="004F4670"/>
    <w:rsid w:val="004F5107"/>
    <w:rsid w:val="004F78B8"/>
    <w:rsid w:val="005051C6"/>
    <w:rsid w:val="00506767"/>
    <w:rsid w:val="00513325"/>
    <w:rsid w:val="00520E66"/>
    <w:rsid w:val="005217C7"/>
    <w:rsid w:val="00522486"/>
    <w:rsid w:val="005239FF"/>
    <w:rsid w:val="00525846"/>
    <w:rsid w:val="00530599"/>
    <w:rsid w:val="00530BBA"/>
    <w:rsid w:val="0053259A"/>
    <w:rsid w:val="00533A6E"/>
    <w:rsid w:val="00533B99"/>
    <w:rsid w:val="00535682"/>
    <w:rsid w:val="005361A8"/>
    <w:rsid w:val="00540A78"/>
    <w:rsid w:val="00540C31"/>
    <w:rsid w:val="00542040"/>
    <w:rsid w:val="00542E9D"/>
    <w:rsid w:val="005437D2"/>
    <w:rsid w:val="005465DB"/>
    <w:rsid w:val="00547D6D"/>
    <w:rsid w:val="0055731A"/>
    <w:rsid w:val="00560414"/>
    <w:rsid w:val="0056105F"/>
    <w:rsid w:val="00561FA8"/>
    <w:rsid w:val="00563087"/>
    <w:rsid w:val="00563693"/>
    <w:rsid w:val="00564A8B"/>
    <w:rsid w:val="00565E0E"/>
    <w:rsid w:val="005678D1"/>
    <w:rsid w:val="00571DA7"/>
    <w:rsid w:val="00577340"/>
    <w:rsid w:val="00581658"/>
    <w:rsid w:val="005819DB"/>
    <w:rsid w:val="00584467"/>
    <w:rsid w:val="0058653C"/>
    <w:rsid w:val="00587687"/>
    <w:rsid w:val="0059105E"/>
    <w:rsid w:val="005910A6"/>
    <w:rsid w:val="00593987"/>
    <w:rsid w:val="00594CFD"/>
    <w:rsid w:val="00596853"/>
    <w:rsid w:val="005A038C"/>
    <w:rsid w:val="005A15A3"/>
    <w:rsid w:val="005A3DAC"/>
    <w:rsid w:val="005A3EFD"/>
    <w:rsid w:val="005A4384"/>
    <w:rsid w:val="005A4E5E"/>
    <w:rsid w:val="005A4F1C"/>
    <w:rsid w:val="005A5E09"/>
    <w:rsid w:val="005B0810"/>
    <w:rsid w:val="005B0DB1"/>
    <w:rsid w:val="005B50C9"/>
    <w:rsid w:val="005B7A9E"/>
    <w:rsid w:val="005C3D2B"/>
    <w:rsid w:val="005C434E"/>
    <w:rsid w:val="005C7084"/>
    <w:rsid w:val="005C7F68"/>
    <w:rsid w:val="005D0E43"/>
    <w:rsid w:val="005D1B6E"/>
    <w:rsid w:val="005D2449"/>
    <w:rsid w:val="005E01A1"/>
    <w:rsid w:val="005E310E"/>
    <w:rsid w:val="005E4CF4"/>
    <w:rsid w:val="005F144F"/>
    <w:rsid w:val="005F2D7E"/>
    <w:rsid w:val="005F478A"/>
    <w:rsid w:val="005F60F6"/>
    <w:rsid w:val="00601104"/>
    <w:rsid w:val="0060262D"/>
    <w:rsid w:val="00603120"/>
    <w:rsid w:val="00603AD0"/>
    <w:rsid w:val="006045FF"/>
    <w:rsid w:val="006121D3"/>
    <w:rsid w:val="006157F1"/>
    <w:rsid w:val="00615A35"/>
    <w:rsid w:val="0062103D"/>
    <w:rsid w:val="0062246A"/>
    <w:rsid w:val="00622918"/>
    <w:rsid w:val="006259FB"/>
    <w:rsid w:val="006330CB"/>
    <w:rsid w:val="006359CE"/>
    <w:rsid w:val="00635CB8"/>
    <w:rsid w:val="006363FB"/>
    <w:rsid w:val="0064089B"/>
    <w:rsid w:val="00641568"/>
    <w:rsid w:val="006424F4"/>
    <w:rsid w:val="00644D1E"/>
    <w:rsid w:val="006467A5"/>
    <w:rsid w:val="00654E04"/>
    <w:rsid w:val="00655C1D"/>
    <w:rsid w:val="00660C8C"/>
    <w:rsid w:val="00663CA6"/>
    <w:rsid w:val="00665DA8"/>
    <w:rsid w:val="0066681C"/>
    <w:rsid w:val="006676AC"/>
    <w:rsid w:val="00672A22"/>
    <w:rsid w:val="006774AB"/>
    <w:rsid w:val="00677CA2"/>
    <w:rsid w:val="00680C14"/>
    <w:rsid w:val="00687214"/>
    <w:rsid w:val="00687F2E"/>
    <w:rsid w:val="00692E74"/>
    <w:rsid w:val="00693CB7"/>
    <w:rsid w:val="00693EAD"/>
    <w:rsid w:val="00696032"/>
    <w:rsid w:val="00696905"/>
    <w:rsid w:val="006A2140"/>
    <w:rsid w:val="006A2C12"/>
    <w:rsid w:val="006A2E6A"/>
    <w:rsid w:val="006A3B76"/>
    <w:rsid w:val="006A5243"/>
    <w:rsid w:val="006B0177"/>
    <w:rsid w:val="006B0DD3"/>
    <w:rsid w:val="006B11C7"/>
    <w:rsid w:val="006B3162"/>
    <w:rsid w:val="006B43FA"/>
    <w:rsid w:val="006B5FB1"/>
    <w:rsid w:val="006B7681"/>
    <w:rsid w:val="006C18E8"/>
    <w:rsid w:val="006C3189"/>
    <w:rsid w:val="006C5136"/>
    <w:rsid w:val="006C5317"/>
    <w:rsid w:val="006D5C87"/>
    <w:rsid w:val="006D61C7"/>
    <w:rsid w:val="006D631A"/>
    <w:rsid w:val="006D6C80"/>
    <w:rsid w:val="006E0EB9"/>
    <w:rsid w:val="006E1115"/>
    <w:rsid w:val="006E154F"/>
    <w:rsid w:val="006E183F"/>
    <w:rsid w:val="006E1E3C"/>
    <w:rsid w:val="006E2714"/>
    <w:rsid w:val="006E30D8"/>
    <w:rsid w:val="006E64AF"/>
    <w:rsid w:val="006E69AE"/>
    <w:rsid w:val="006F0A12"/>
    <w:rsid w:val="006F121F"/>
    <w:rsid w:val="006F478F"/>
    <w:rsid w:val="006F5B90"/>
    <w:rsid w:val="006F6E0C"/>
    <w:rsid w:val="00700939"/>
    <w:rsid w:val="00700B76"/>
    <w:rsid w:val="00701FCD"/>
    <w:rsid w:val="00702752"/>
    <w:rsid w:val="007069EF"/>
    <w:rsid w:val="00713F73"/>
    <w:rsid w:val="00714481"/>
    <w:rsid w:val="007146B7"/>
    <w:rsid w:val="0071497A"/>
    <w:rsid w:val="00716CE2"/>
    <w:rsid w:val="007171E7"/>
    <w:rsid w:val="007178EA"/>
    <w:rsid w:val="00720854"/>
    <w:rsid w:val="00723C7F"/>
    <w:rsid w:val="0072719D"/>
    <w:rsid w:val="00730BA5"/>
    <w:rsid w:val="007335EC"/>
    <w:rsid w:val="00734B9B"/>
    <w:rsid w:val="00736E0C"/>
    <w:rsid w:val="007418D8"/>
    <w:rsid w:val="00741F35"/>
    <w:rsid w:val="007438B1"/>
    <w:rsid w:val="00745916"/>
    <w:rsid w:val="00746880"/>
    <w:rsid w:val="00751AA3"/>
    <w:rsid w:val="00752E51"/>
    <w:rsid w:val="00754202"/>
    <w:rsid w:val="00760E86"/>
    <w:rsid w:val="007617C2"/>
    <w:rsid w:val="0076419F"/>
    <w:rsid w:val="0076601C"/>
    <w:rsid w:val="00770422"/>
    <w:rsid w:val="007709B0"/>
    <w:rsid w:val="00780B31"/>
    <w:rsid w:val="00781085"/>
    <w:rsid w:val="007931DE"/>
    <w:rsid w:val="00793F43"/>
    <w:rsid w:val="0079561D"/>
    <w:rsid w:val="007A1183"/>
    <w:rsid w:val="007A4A33"/>
    <w:rsid w:val="007B15FB"/>
    <w:rsid w:val="007B1A94"/>
    <w:rsid w:val="007B23A3"/>
    <w:rsid w:val="007B566C"/>
    <w:rsid w:val="007D0E63"/>
    <w:rsid w:val="007D3017"/>
    <w:rsid w:val="007D3A35"/>
    <w:rsid w:val="007D3BF8"/>
    <w:rsid w:val="007D4C0E"/>
    <w:rsid w:val="007D662F"/>
    <w:rsid w:val="007E29AB"/>
    <w:rsid w:val="007E3092"/>
    <w:rsid w:val="007E3951"/>
    <w:rsid w:val="007E4488"/>
    <w:rsid w:val="007E56F4"/>
    <w:rsid w:val="007E6BB0"/>
    <w:rsid w:val="007F252F"/>
    <w:rsid w:val="007F4224"/>
    <w:rsid w:val="007F60EA"/>
    <w:rsid w:val="008009D0"/>
    <w:rsid w:val="00806CF4"/>
    <w:rsid w:val="00807E3B"/>
    <w:rsid w:val="00812B31"/>
    <w:rsid w:val="00814626"/>
    <w:rsid w:val="00815849"/>
    <w:rsid w:val="00820256"/>
    <w:rsid w:val="00820260"/>
    <w:rsid w:val="0082061B"/>
    <w:rsid w:val="0082194E"/>
    <w:rsid w:val="0082218F"/>
    <w:rsid w:val="00825739"/>
    <w:rsid w:val="00827777"/>
    <w:rsid w:val="00832308"/>
    <w:rsid w:val="00841DF5"/>
    <w:rsid w:val="00842BAA"/>
    <w:rsid w:val="008500EA"/>
    <w:rsid w:val="008502FB"/>
    <w:rsid w:val="00850960"/>
    <w:rsid w:val="0085234E"/>
    <w:rsid w:val="00852FD8"/>
    <w:rsid w:val="00855DA5"/>
    <w:rsid w:val="00860DD6"/>
    <w:rsid w:val="0086110B"/>
    <w:rsid w:val="00861EFC"/>
    <w:rsid w:val="00862CF4"/>
    <w:rsid w:val="00862D4B"/>
    <w:rsid w:val="008633D3"/>
    <w:rsid w:val="00866625"/>
    <w:rsid w:val="00870327"/>
    <w:rsid w:val="00872D14"/>
    <w:rsid w:val="00872F5D"/>
    <w:rsid w:val="00873587"/>
    <w:rsid w:val="008751FF"/>
    <w:rsid w:val="00876FF5"/>
    <w:rsid w:val="0088013F"/>
    <w:rsid w:val="008834D0"/>
    <w:rsid w:val="00883D20"/>
    <w:rsid w:val="00893362"/>
    <w:rsid w:val="008933FE"/>
    <w:rsid w:val="00896DB0"/>
    <w:rsid w:val="008A158F"/>
    <w:rsid w:val="008A2B12"/>
    <w:rsid w:val="008A33D6"/>
    <w:rsid w:val="008A380E"/>
    <w:rsid w:val="008B6F28"/>
    <w:rsid w:val="008B7D2F"/>
    <w:rsid w:val="008C1D7C"/>
    <w:rsid w:val="008C4AF1"/>
    <w:rsid w:val="008C52C1"/>
    <w:rsid w:val="008D70A9"/>
    <w:rsid w:val="008E1FEA"/>
    <w:rsid w:val="008E360E"/>
    <w:rsid w:val="008F1363"/>
    <w:rsid w:val="008F17DB"/>
    <w:rsid w:val="008F6914"/>
    <w:rsid w:val="00903310"/>
    <w:rsid w:val="00906097"/>
    <w:rsid w:val="00912DF4"/>
    <w:rsid w:val="0091715A"/>
    <w:rsid w:val="0091769A"/>
    <w:rsid w:val="009176A0"/>
    <w:rsid w:val="009234D7"/>
    <w:rsid w:val="00923CC4"/>
    <w:rsid w:val="00923D99"/>
    <w:rsid w:val="00924AA5"/>
    <w:rsid w:val="009301CF"/>
    <w:rsid w:val="0093069F"/>
    <w:rsid w:val="0093315A"/>
    <w:rsid w:val="0093553E"/>
    <w:rsid w:val="00936154"/>
    <w:rsid w:val="009371DD"/>
    <w:rsid w:val="009440FC"/>
    <w:rsid w:val="00950862"/>
    <w:rsid w:val="00952296"/>
    <w:rsid w:val="0095469E"/>
    <w:rsid w:val="00956617"/>
    <w:rsid w:val="00957C57"/>
    <w:rsid w:val="0096255F"/>
    <w:rsid w:val="009631A0"/>
    <w:rsid w:val="009642E0"/>
    <w:rsid w:val="00964895"/>
    <w:rsid w:val="0096490A"/>
    <w:rsid w:val="00965206"/>
    <w:rsid w:val="00965F53"/>
    <w:rsid w:val="00966492"/>
    <w:rsid w:val="009721F1"/>
    <w:rsid w:val="00972808"/>
    <w:rsid w:val="00972FD0"/>
    <w:rsid w:val="0097359B"/>
    <w:rsid w:val="009742B2"/>
    <w:rsid w:val="009765FA"/>
    <w:rsid w:val="00976ACF"/>
    <w:rsid w:val="00977DFE"/>
    <w:rsid w:val="00981353"/>
    <w:rsid w:val="00982111"/>
    <w:rsid w:val="00984784"/>
    <w:rsid w:val="00987ACE"/>
    <w:rsid w:val="00991E4B"/>
    <w:rsid w:val="0099267E"/>
    <w:rsid w:val="009A38F3"/>
    <w:rsid w:val="009A55B1"/>
    <w:rsid w:val="009A57D1"/>
    <w:rsid w:val="009A5942"/>
    <w:rsid w:val="009B1825"/>
    <w:rsid w:val="009B2403"/>
    <w:rsid w:val="009B5665"/>
    <w:rsid w:val="009B5BB1"/>
    <w:rsid w:val="009B628B"/>
    <w:rsid w:val="009B66A6"/>
    <w:rsid w:val="009C08AB"/>
    <w:rsid w:val="009C0A94"/>
    <w:rsid w:val="009C284E"/>
    <w:rsid w:val="009C2BD4"/>
    <w:rsid w:val="009C3735"/>
    <w:rsid w:val="009C3F32"/>
    <w:rsid w:val="009C7059"/>
    <w:rsid w:val="009D04FD"/>
    <w:rsid w:val="009D4E0B"/>
    <w:rsid w:val="009E266D"/>
    <w:rsid w:val="009E3BB0"/>
    <w:rsid w:val="009E424E"/>
    <w:rsid w:val="009E45F6"/>
    <w:rsid w:val="009E4A31"/>
    <w:rsid w:val="009E7482"/>
    <w:rsid w:val="009E74A7"/>
    <w:rsid w:val="009F07F7"/>
    <w:rsid w:val="009F35A3"/>
    <w:rsid w:val="009F408C"/>
    <w:rsid w:val="009F7E8D"/>
    <w:rsid w:val="00A04B37"/>
    <w:rsid w:val="00A05999"/>
    <w:rsid w:val="00A06933"/>
    <w:rsid w:val="00A1511C"/>
    <w:rsid w:val="00A15D2F"/>
    <w:rsid w:val="00A2168B"/>
    <w:rsid w:val="00A33A92"/>
    <w:rsid w:val="00A36794"/>
    <w:rsid w:val="00A37809"/>
    <w:rsid w:val="00A41669"/>
    <w:rsid w:val="00A47CFD"/>
    <w:rsid w:val="00A54620"/>
    <w:rsid w:val="00A61E09"/>
    <w:rsid w:val="00A625C1"/>
    <w:rsid w:val="00A657F7"/>
    <w:rsid w:val="00A663CB"/>
    <w:rsid w:val="00A672D2"/>
    <w:rsid w:val="00A67FF8"/>
    <w:rsid w:val="00A70081"/>
    <w:rsid w:val="00A72335"/>
    <w:rsid w:val="00A7491C"/>
    <w:rsid w:val="00A8248A"/>
    <w:rsid w:val="00A90EC0"/>
    <w:rsid w:val="00A940C1"/>
    <w:rsid w:val="00A942A9"/>
    <w:rsid w:val="00A97BDC"/>
    <w:rsid w:val="00AA0ABB"/>
    <w:rsid w:val="00AA23BD"/>
    <w:rsid w:val="00AA24AB"/>
    <w:rsid w:val="00AA6A3F"/>
    <w:rsid w:val="00AB0188"/>
    <w:rsid w:val="00AB1A7E"/>
    <w:rsid w:val="00AB3698"/>
    <w:rsid w:val="00AB3BF1"/>
    <w:rsid w:val="00AC15E6"/>
    <w:rsid w:val="00AC37F6"/>
    <w:rsid w:val="00AC5C96"/>
    <w:rsid w:val="00AC6948"/>
    <w:rsid w:val="00AC6D26"/>
    <w:rsid w:val="00AD0A6D"/>
    <w:rsid w:val="00AD1E1B"/>
    <w:rsid w:val="00AD4F5F"/>
    <w:rsid w:val="00AD6488"/>
    <w:rsid w:val="00AD71E5"/>
    <w:rsid w:val="00AE180B"/>
    <w:rsid w:val="00AE4775"/>
    <w:rsid w:val="00AE6818"/>
    <w:rsid w:val="00AF1346"/>
    <w:rsid w:val="00AF1D2C"/>
    <w:rsid w:val="00AF2C08"/>
    <w:rsid w:val="00AF3AB7"/>
    <w:rsid w:val="00B01088"/>
    <w:rsid w:val="00B04D8D"/>
    <w:rsid w:val="00B04DFB"/>
    <w:rsid w:val="00B102BE"/>
    <w:rsid w:val="00B10D30"/>
    <w:rsid w:val="00B209FC"/>
    <w:rsid w:val="00B21ED0"/>
    <w:rsid w:val="00B2580E"/>
    <w:rsid w:val="00B42F3C"/>
    <w:rsid w:val="00B4596F"/>
    <w:rsid w:val="00B45ECD"/>
    <w:rsid w:val="00B51EAF"/>
    <w:rsid w:val="00B530BF"/>
    <w:rsid w:val="00B53937"/>
    <w:rsid w:val="00B613CC"/>
    <w:rsid w:val="00B616F1"/>
    <w:rsid w:val="00B62487"/>
    <w:rsid w:val="00B65E5B"/>
    <w:rsid w:val="00B77E96"/>
    <w:rsid w:val="00B82881"/>
    <w:rsid w:val="00B84E53"/>
    <w:rsid w:val="00B86288"/>
    <w:rsid w:val="00B86719"/>
    <w:rsid w:val="00B86D29"/>
    <w:rsid w:val="00B87A17"/>
    <w:rsid w:val="00B901B4"/>
    <w:rsid w:val="00B914C8"/>
    <w:rsid w:val="00B929EB"/>
    <w:rsid w:val="00B937B1"/>
    <w:rsid w:val="00B93AF5"/>
    <w:rsid w:val="00B942A1"/>
    <w:rsid w:val="00B95589"/>
    <w:rsid w:val="00B95EB1"/>
    <w:rsid w:val="00B97100"/>
    <w:rsid w:val="00B97623"/>
    <w:rsid w:val="00BA6C7B"/>
    <w:rsid w:val="00BA706E"/>
    <w:rsid w:val="00BA7561"/>
    <w:rsid w:val="00BB40CE"/>
    <w:rsid w:val="00BB41A7"/>
    <w:rsid w:val="00BB52B5"/>
    <w:rsid w:val="00BB7A84"/>
    <w:rsid w:val="00BC3508"/>
    <w:rsid w:val="00BC4FBE"/>
    <w:rsid w:val="00BC7D96"/>
    <w:rsid w:val="00BC7F34"/>
    <w:rsid w:val="00BD1E73"/>
    <w:rsid w:val="00BD41A4"/>
    <w:rsid w:val="00BD434D"/>
    <w:rsid w:val="00BD4897"/>
    <w:rsid w:val="00BD579D"/>
    <w:rsid w:val="00BD5DC3"/>
    <w:rsid w:val="00BE2341"/>
    <w:rsid w:val="00BE3210"/>
    <w:rsid w:val="00BE5422"/>
    <w:rsid w:val="00BF1267"/>
    <w:rsid w:val="00BF18D5"/>
    <w:rsid w:val="00BF2C1E"/>
    <w:rsid w:val="00BF2D86"/>
    <w:rsid w:val="00BF30CA"/>
    <w:rsid w:val="00BF7705"/>
    <w:rsid w:val="00C04839"/>
    <w:rsid w:val="00C07A49"/>
    <w:rsid w:val="00C105CF"/>
    <w:rsid w:val="00C10D60"/>
    <w:rsid w:val="00C13669"/>
    <w:rsid w:val="00C15638"/>
    <w:rsid w:val="00C203B7"/>
    <w:rsid w:val="00C21CEA"/>
    <w:rsid w:val="00C221EA"/>
    <w:rsid w:val="00C2409F"/>
    <w:rsid w:val="00C258F3"/>
    <w:rsid w:val="00C25D7B"/>
    <w:rsid w:val="00C25E16"/>
    <w:rsid w:val="00C2708F"/>
    <w:rsid w:val="00C2752B"/>
    <w:rsid w:val="00C30415"/>
    <w:rsid w:val="00C30C4E"/>
    <w:rsid w:val="00C35D61"/>
    <w:rsid w:val="00C36627"/>
    <w:rsid w:val="00C36D75"/>
    <w:rsid w:val="00C370B9"/>
    <w:rsid w:val="00C43F51"/>
    <w:rsid w:val="00C45666"/>
    <w:rsid w:val="00C473CE"/>
    <w:rsid w:val="00C52A02"/>
    <w:rsid w:val="00C54F4B"/>
    <w:rsid w:val="00C55412"/>
    <w:rsid w:val="00C61876"/>
    <w:rsid w:val="00C64149"/>
    <w:rsid w:val="00C64E9A"/>
    <w:rsid w:val="00C6625B"/>
    <w:rsid w:val="00C67C9D"/>
    <w:rsid w:val="00C742D1"/>
    <w:rsid w:val="00C75C6E"/>
    <w:rsid w:val="00C75D7B"/>
    <w:rsid w:val="00C86FF5"/>
    <w:rsid w:val="00C91B0A"/>
    <w:rsid w:val="00C92814"/>
    <w:rsid w:val="00C94B38"/>
    <w:rsid w:val="00C9616C"/>
    <w:rsid w:val="00CA2D11"/>
    <w:rsid w:val="00CA5C80"/>
    <w:rsid w:val="00CB180B"/>
    <w:rsid w:val="00CB5631"/>
    <w:rsid w:val="00CB7B65"/>
    <w:rsid w:val="00CB7EB6"/>
    <w:rsid w:val="00CC0730"/>
    <w:rsid w:val="00CC1A60"/>
    <w:rsid w:val="00CC2052"/>
    <w:rsid w:val="00CC2EC4"/>
    <w:rsid w:val="00CC38F1"/>
    <w:rsid w:val="00CC5F89"/>
    <w:rsid w:val="00CD0830"/>
    <w:rsid w:val="00CD097A"/>
    <w:rsid w:val="00CD3EC8"/>
    <w:rsid w:val="00CD790C"/>
    <w:rsid w:val="00CE041B"/>
    <w:rsid w:val="00CE1207"/>
    <w:rsid w:val="00CE21E9"/>
    <w:rsid w:val="00CE42B1"/>
    <w:rsid w:val="00CE5EE1"/>
    <w:rsid w:val="00CE7D44"/>
    <w:rsid w:val="00CE7D90"/>
    <w:rsid w:val="00CE7F0D"/>
    <w:rsid w:val="00CF11C3"/>
    <w:rsid w:val="00CF1BBF"/>
    <w:rsid w:val="00CF3C8A"/>
    <w:rsid w:val="00CF453E"/>
    <w:rsid w:val="00D0223F"/>
    <w:rsid w:val="00D06CFF"/>
    <w:rsid w:val="00D10C01"/>
    <w:rsid w:val="00D12C0A"/>
    <w:rsid w:val="00D12D84"/>
    <w:rsid w:val="00D13C2C"/>
    <w:rsid w:val="00D169F2"/>
    <w:rsid w:val="00D1754F"/>
    <w:rsid w:val="00D200E2"/>
    <w:rsid w:val="00D20F4B"/>
    <w:rsid w:val="00D23DF1"/>
    <w:rsid w:val="00D27FDC"/>
    <w:rsid w:val="00D31536"/>
    <w:rsid w:val="00D31BA7"/>
    <w:rsid w:val="00D324B4"/>
    <w:rsid w:val="00D437C3"/>
    <w:rsid w:val="00D43AA7"/>
    <w:rsid w:val="00D505A3"/>
    <w:rsid w:val="00D5255B"/>
    <w:rsid w:val="00D57716"/>
    <w:rsid w:val="00D604C5"/>
    <w:rsid w:val="00D6346A"/>
    <w:rsid w:val="00D63958"/>
    <w:rsid w:val="00D63CE1"/>
    <w:rsid w:val="00D665E9"/>
    <w:rsid w:val="00D67F45"/>
    <w:rsid w:val="00D72D0A"/>
    <w:rsid w:val="00D744A7"/>
    <w:rsid w:val="00D804B5"/>
    <w:rsid w:val="00D8490F"/>
    <w:rsid w:val="00D92342"/>
    <w:rsid w:val="00D96CEF"/>
    <w:rsid w:val="00DA0F47"/>
    <w:rsid w:val="00DA1CA2"/>
    <w:rsid w:val="00DA4E84"/>
    <w:rsid w:val="00DB10AB"/>
    <w:rsid w:val="00DB300E"/>
    <w:rsid w:val="00DB7F06"/>
    <w:rsid w:val="00DC0E14"/>
    <w:rsid w:val="00DC0EAD"/>
    <w:rsid w:val="00DC7B5F"/>
    <w:rsid w:val="00DD03F4"/>
    <w:rsid w:val="00DD18B4"/>
    <w:rsid w:val="00DD2964"/>
    <w:rsid w:val="00DD2C97"/>
    <w:rsid w:val="00DD34AF"/>
    <w:rsid w:val="00DD603E"/>
    <w:rsid w:val="00DD7485"/>
    <w:rsid w:val="00DE424A"/>
    <w:rsid w:val="00DE44B5"/>
    <w:rsid w:val="00DE5302"/>
    <w:rsid w:val="00DF0034"/>
    <w:rsid w:val="00DF08DD"/>
    <w:rsid w:val="00DF093E"/>
    <w:rsid w:val="00DF59E3"/>
    <w:rsid w:val="00E01A49"/>
    <w:rsid w:val="00E04CE2"/>
    <w:rsid w:val="00E070F7"/>
    <w:rsid w:val="00E13DEE"/>
    <w:rsid w:val="00E165E9"/>
    <w:rsid w:val="00E17BBB"/>
    <w:rsid w:val="00E23348"/>
    <w:rsid w:val="00E23FCB"/>
    <w:rsid w:val="00E25C82"/>
    <w:rsid w:val="00E26EA3"/>
    <w:rsid w:val="00E30E29"/>
    <w:rsid w:val="00E3375F"/>
    <w:rsid w:val="00E3598B"/>
    <w:rsid w:val="00E35F32"/>
    <w:rsid w:val="00E40246"/>
    <w:rsid w:val="00E421CD"/>
    <w:rsid w:val="00E43469"/>
    <w:rsid w:val="00E44FEC"/>
    <w:rsid w:val="00E50600"/>
    <w:rsid w:val="00E523D5"/>
    <w:rsid w:val="00E52FB8"/>
    <w:rsid w:val="00E614DD"/>
    <w:rsid w:val="00E636B3"/>
    <w:rsid w:val="00E63F60"/>
    <w:rsid w:val="00E6693D"/>
    <w:rsid w:val="00E71A77"/>
    <w:rsid w:val="00E73F07"/>
    <w:rsid w:val="00E74C27"/>
    <w:rsid w:val="00E811AB"/>
    <w:rsid w:val="00E82071"/>
    <w:rsid w:val="00E827C2"/>
    <w:rsid w:val="00E83B2D"/>
    <w:rsid w:val="00E8581F"/>
    <w:rsid w:val="00E8644F"/>
    <w:rsid w:val="00E87600"/>
    <w:rsid w:val="00E87FCE"/>
    <w:rsid w:val="00E90221"/>
    <w:rsid w:val="00E91011"/>
    <w:rsid w:val="00E91428"/>
    <w:rsid w:val="00E93B80"/>
    <w:rsid w:val="00E95227"/>
    <w:rsid w:val="00E9738C"/>
    <w:rsid w:val="00E97531"/>
    <w:rsid w:val="00EA05E7"/>
    <w:rsid w:val="00EA7B83"/>
    <w:rsid w:val="00EB12ED"/>
    <w:rsid w:val="00EB38B4"/>
    <w:rsid w:val="00EB5202"/>
    <w:rsid w:val="00EB529B"/>
    <w:rsid w:val="00EB5496"/>
    <w:rsid w:val="00EB559C"/>
    <w:rsid w:val="00EC1CFF"/>
    <w:rsid w:val="00ED10D4"/>
    <w:rsid w:val="00ED45A4"/>
    <w:rsid w:val="00ED4E69"/>
    <w:rsid w:val="00ED592E"/>
    <w:rsid w:val="00ED630D"/>
    <w:rsid w:val="00EE0539"/>
    <w:rsid w:val="00EE25E8"/>
    <w:rsid w:val="00EE2E5E"/>
    <w:rsid w:val="00EE4186"/>
    <w:rsid w:val="00EE5C90"/>
    <w:rsid w:val="00EF35A4"/>
    <w:rsid w:val="00EF4FA7"/>
    <w:rsid w:val="00EF63EC"/>
    <w:rsid w:val="00EF71D7"/>
    <w:rsid w:val="00EF7383"/>
    <w:rsid w:val="00F004CA"/>
    <w:rsid w:val="00F00F7E"/>
    <w:rsid w:val="00F019B3"/>
    <w:rsid w:val="00F05AF0"/>
    <w:rsid w:val="00F07343"/>
    <w:rsid w:val="00F07778"/>
    <w:rsid w:val="00F12D80"/>
    <w:rsid w:val="00F12E73"/>
    <w:rsid w:val="00F12EB3"/>
    <w:rsid w:val="00F1514D"/>
    <w:rsid w:val="00F16821"/>
    <w:rsid w:val="00F265A8"/>
    <w:rsid w:val="00F26D82"/>
    <w:rsid w:val="00F31E93"/>
    <w:rsid w:val="00F3674F"/>
    <w:rsid w:val="00F36FC4"/>
    <w:rsid w:val="00F4017E"/>
    <w:rsid w:val="00F40380"/>
    <w:rsid w:val="00F41B50"/>
    <w:rsid w:val="00F56125"/>
    <w:rsid w:val="00F57636"/>
    <w:rsid w:val="00F62776"/>
    <w:rsid w:val="00F62CA5"/>
    <w:rsid w:val="00F655A1"/>
    <w:rsid w:val="00F6609A"/>
    <w:rsid w:val="00F666CE"/>
    <w:rsid w:val="00F6772D"/>
    <w:rsid w:val="00F679FE"/>
    <w:rsid w:val="00F711C3"/>
    <w:rsid w:val="00F73033"/>
    <w:rsid w:val="00F741FA"/>
    <w:rsid w:val="00F749E8"/>
    <w:rsid w:val="00F74CD4"/>
    <w:rsid w:val="00F74D20"/>
    <w:rsid w:val="00F75949"/>
    <w:rsid w:val="00F802C3"/>
    <w:rsid w:val="00F81DFF"/>
    <w:rsid w:val="00F83E91"/>
    <w:rsid w:val="00F85129"/>
    <w:rsid w:val="00F857B3"/>
    <w:rsid w:val="00F86329"/>
    <w:rsid w:val="00F9126B"/>
    <w:rsid w:val="00F92839"/>
    <w:rsid w:val="00F92B89"/>
    <w:rsid w:val="00F93B69"/>
    <w:rsid w:val="00F948FA"/>
    <w:rsid w:val="00F94CF4"/>
    <w:rsid w:val="00F9545C"/>
    <w:rsid w:val="00F958B8"/>
    <w:rsid w:val="00F962B8"/>
    <w:rsid w:val="00FA4B49"/>
    <w:rsid w:val="00FA50D7"/>
    <w:rsid w:val="00FA689F"/>
    <w:rsid w:val="00FA6D54"/>
    <w:rsid w:val="00FB0601"/>
    <w:rsid w:val="00FB1555"/>
    <w:rsid w:val="00FB15BB"/>
    <w:rsid w:val="00FB52CE"/>
    <w:rsid w:val="00FB5819"/>
    <w:rsid w:val="00FC0BD6"/>
    <w:rsid w:val="00FC1D8E"/>
    <w:rsid w:val="00FC25C0"/>
    <w:rsid w:val="00FC53B8"/>
    <w:rsid w:val="00FC6451"/>
    <w:rsid w:val="00FD1A99"/>
    <w:rsid w:val="00FD3031"/>
    <w:rsid w:val="00FD6696"/>
    <w:rsid w:val="00FE09FC"/>
    <w:rsid w:val="00FE0A36"/>
    <w:rsid w:val="00FE0C0D"/>
    <w:rsid w:val="00FE2209"/>
    <w:rsid w:val="00FE262B"/>
    <w:rsid w:val="00FF25C0"/>
    <w:rsid w:val="00FF2BD0"/>
    <w:rsid w:val="00FF2E0D"/>
    <w:rsid w:val="00FF350C"/>
    <w:rsid w:val="00FF4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5BFF08-3B33-4FCE-9FE0-3C2DB125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999"/>
    <w:rPr>
      <w:sz w:val="24"/>
      <w:szCs w:val="24"/>
      <w:lang w:val="en-GB" w:eastAsia="en-US"/>
    </w:rPr>
  </w:style>
  <w:style w:type="paragraph" w:styleId="Heading1">
    <w:name w:val="heading 1"/>
    <w:basedOn w:val="Normal"/>
    <w:next w:val="Normal"/>
    <w:link w:val="Heading1Char"/>
    <w:uiPriority w:val="99"/>
    <w:qFormat/>
    <w:rsid w:val="000740CE"/>
    <w:pPr>
      <w:numPr>
        <w:numId w:val="3"/>
      </w:numPr>
      <w:spacing w:before="480" w:line="276" w:lineRule="auto"/>
      <w:outlineLvl w:val="0"/>
    </w:pPr>
    <w:rPr>
      <w:rFonts w:ascii="Cambria" w:hAnsi="Cambria" w:cs="Cambria"/>
      <w:b/>
      <w:bCs/>
      <w:sz w:val="28"/>
      <w:szCs w:val="28"/>
      <w:lang w:val="en-US"/>
    </w:rPr>
  </w:style>
  <w:style w:type="paragraph" w:styleId="Heading2">
    <w:name w:val="heading 2"/>
    <w:basedOn w:val="Normal"/>
    <w:next w:val="Normal"/>
    <w:link w:val="Heading2Char"/>
    <w:uiPriority w:val="99"/>
    <w:qFormat/>
    <w:rsid w:val="000740CE"/>
    <w:pPr>
      <w:numPr>
        <w:ilvl w:val="1"/>
        <w:numId w:val="3"/>
      </w:numPr>
      <w:spacing w:before="200" w:line="276" w:lineRule="auto"/>
      <w:outlineLvl w:val="1"/>
    </w:pPr>
    <w:rPr>
      <w:rFonts w:ascii="Cambria" w:hAnsi="Cambria" w:cs="Cambria"/>
      <w:b/>
      <w:bCs/>
      <w:sz w:val="26"/>
      <w:szCs w:val="26"/>
      <w:lang w:val="en-US"/>
    </w:rPr>
  </w:style>
  <w:style w:type="paragraph" w:styleId="Heading3">
    <w:name w:val="heading 3"/>
    <w:basedOn w:val="Normal"/>
    <w:next w:val="Normal"/>
    <w:link w:val="Heading3Char"/>
    <w:uiPriority w:val="99"/>
    <w:qFormat/>
    <w:rsid w:val="000740CE"/>
    <w:pPr>
      <w:numPr>
        <w:ilvl w:val="2"/>
        <w:numId w:val="3"/>
      </w:numPr>
      <w:spacing w:before="200" w:line="271" w:lineRule="auto"/>
      <w:outlineLvl w:val="2"/>
    </w:pPr>
    <w:rPr>
      <w:rFonts w:ascii="Cambria" w:hAnsi="Cambria" w:cs="Cambria"/>
      <w:b/>
      <w:bCs/>
      <w:sz w:val="22"/>
      <w:szCs w:val="22"/>
      <w:lang w:val="en-US"/>
    </w:rPr>
  </w:style>
  <w:style w:type="paragraph" w:styleId="Heading4">
    <w:name w:val="heading 4"/>
    <w:basedOn w:val="Normal"/>
    <w:next w:val="Normal"/>
    <w:link w:val="Heading4Char"/>
    <w:uiPriority w:val="99"/>
    <w:qFormat/>
    <w:rsid w:val="000740CE"/>
    <w:pPr>
      <w:numPr>
        <w:ilvl w:val="3"/>
        <w:numId w:val="3"/>
      </w:numPr>
      <w:spacing w:before="200" w:line="276" w:lineRule="auto"/>
      <w:outlineLvl w:val="3"/>
    </w:pPr>
    <w:rPr>
      <w:rFonts w:ascii="Cambria" w:hAnsi="Cambria" w:cs="Cambria"/>
      <w:b/>
      <w:bCs/>
      <w:i/>
      <w:iCs/>
      <w:sz w:val="22"/>
      <w:szCs w:val="22"/>
      <w:lang w:val="en-US"/>
    </w:rPr>
  </w:style>
  <w:style w:type="paragraph" w:styleId="Heading5">
    <w:name w:val="heading 5"/>
    <w:basedOn w:val="Normal"/>
    <w:next w:val="Normal"/>
    <w:link w:val="Heading5Char"/>
    <w:uiPriority w:val="99"/>
    <w:qFormat/>
    <w:rsid w:val="000740CE"/>
    <w:pPr>
      <w:numPr>
        <w:ilvl w:val="4"/>
        <w:numId w:val="3"/>
      </w:numPr>
      <w:spacing w:before="200" w:line="276" w:lineRule="auto"/>
      <w:outlineLvl w:val="4"/>
    </w:pPr>
    <w:rPr>
      <w:rFonts w:ascii="Cambria" w:hAnsi="Cambria" w:cs="Cambria"/>
      <w:b/>
      <w:bCs/>
      <w:color w:val="7F7F7F"/>
      <w:sz w:val="22"/>
      <w:szCs w:val="22"/>
      <w:lang w:val="en-US"/>
    </w:rPr>
  </w:style>
  <w:style w:type="paragraph" w:styleId="Heading6">
    <w:name w:val="heading 6"/>
    <w:basedOn w:val="Normal"/>
    <w:next w:val="Normal"/>
    <w:link w:val="Heading6Char"/>
    <w:uiPriority w:val="99"/>
    <w:qFormat/>
    <w:rsid w:val="000740CE"/>
    <w:pPr>
      <w:numPr>
        <w:ilvl w:val="5"/>
        <w:numId w:val="3"/>
      </w:numPr>
      <w:spacing w:line="271" w:lineRule="auto"/>
      <w:outlineLvl w:val="5"/>
    </w:pPr>
    <w:rPr>
      <w:rFonts w:ascii="Cambria" w:hAnsi="Cambria" w:cs="Cambria"/>
      <w:b/>
      <w:bCs/>
      <w:i/>
      <w:iCs/>
      <w:color w:val="7F7F7F"/>
      <w:sz w:val="22"/>
      <w:szCs w:val="22"/>
      <w:lang w:val="en-US"/>
    </w:rPr>
  </w:style>
  <w:style w:type="paragraph" w:styleId="Heading7">
    <w:name w:val="heading 7"/>
    <w:basedOn w:val="Normal"/>
    <w:next w:val="Normal"/>
    <w:link w:val="Heading7Char"/>
    <w:uiPriority w:val="99"/>
    <w:qFormat/>
    <w:rsid w:val="000740CE"/>
    <w:pPr>
      <w:numPr>
        <w:ilvl w:val="6"/>
        <w:numId w:val="3"/>
      </w:numPr>
      <w:spacing w:line="276" w:lineRule="auto"/>
      <w:outlineLvl w:val="6"/>
    </w:pPr>
    <w:rPr>
      <w:rFonts w:ascii="Cambria" w:hAnsi="Cambria" w:cs="Cambria"/>
      <w:i/>
      <w:iCs/>
      <w:sz w:val="22"/>
      <w:szCs w:val="22"/>
      <w:lang w:val="en-US"/>
    </w:rPr>
  </w:style>
  <w:style w:type="paragraph" w:styleId="Heading8">
    <w:name w:val="heading 8"/>
    <w:basedOn w:val="Normal"/>
    <w:next w:val="Normal"/>
    <w:link w:val="Heading8Char"/>
    <w:uiPriority w:val="99"/>
    <w:qFormat/>
    <w:rsid w:val="000740CE"/>
    <w:pPr>
      <w:numPr>
        <w:ilvl w:val="7"/>
        <w:numId w:val="3"/>
      </w:numPr>
      <w:spacing w:line="276" w:lineRule="auto"/>
      <w:outlineLvl w:val="7"/>
    </w:pPr>
    <w:rPr>
      <w:rFonts w:ascii="Cambria" w:hAnsi="Cambria" w:cs="Cambria"/>
      <w:sz w:val="20"/>
      <w:szCs w:val="20"/>
      <w:lang w:val="en-US"/>
    </w:rPr>
  </w:style>
  <w:style w:type="paragraph" w:styleId="Heading9">
    <w:name w:val="heading 9"/>
    <w:basedOn w:val="Normal"/>
    <w:next w:val="Normal"/>
    <w:link w:val="Heading9Char"/>
    <w:uiPriority w:val="99"/>
    <w:qFormat/>
    <w:rsid w:val="000740CE"/>
    <w:pPr>
      <w:numPr>
        <w:ilvl w:val="8"/>
        <w:numId w:val="3"/>
      </w:numPr>
      <w:spacing w:line="276" w:lineRule="auto"/>
      <w:outlineLvl w:val="8"/>
    </w:pPr>
    <w:rPr>
      <w:rFonts w:ascii="Cambria" w:hAnsi="Cambria" w:cs="Cambria"/>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740CE"/>
    <w:rPr>
      <w:rFonts w:ascii="Cambria" w:hAnsi="Cambria" w:cs="Cambria"/>
      <w:b/>
      <w:bCs/>
      <w:sz w:val="28"/>
      <w:szCs w:val="28"/>
      <w:lang w:val="en-US" w:eastAsia="en-US"/>
    </w:rPr>
  </w:style>
  <w:style w:type="character" w:customStyle="1" w:styleId="Heading2Char">
    <w:name w:val="Heading 2 Char"/>
    <w:link w:val="Heading2"/>
    <w:uiPriority w:val="99"/>
    <w:locked/>
    <w:rsid w:val="000740CE"/>
    <w:rPr>
      <w:rFonts w:ascii="Cambria" w:hAnsi="Cambria" w:cs="Cambria"/>
      <w:b/>
      <w:bCs/>
      <w:sz w:val="26"/>
      <w:szCs w:val="26"/>
      <w:lang w:val="en-US" w:eastAsia="en-US"/>
    </w:rPr>
  </w:style>
  <w:style w:type="character" w:customStyle="1" w:styleId="Heading3Char">
    <w:name w:val="Heading 3 Char"/>
    <w:link w:val="Heading3"/>
    <w:uiPriority w:val="99"/>
    <w:locked/>
    <w:rsid w:val="000740CE"/>
    <w:rPr>
      <w:rFonts w:ascii="Cambria" w:hAnsi="Cambria" w:cs="Cambria"/>
      <w:b/>
      <w:bCs/>
      <w:sz w:val="22"/>
      <w:szCs w:val="22"/>
      <w:lang w:val="en-US" w:eastAsia="en-US"/>
    </w:rPr>
  </w:style>
  <w:style w:type="character" w:customStyle="1" w:styleId="Heading4Char">
    <w:name w:val="Heading 4 Char"/>
    <w:link w:val="Heading4"/>
    <w:uiPriority w:val="99"/>
    <w:locked/>
    <w:rsid w:val="000740CE"/>
    <w:rPr>
      <w:rFonts w:ascii="Cambria" w:hAnsi="Cambria" w:cs="Cambria"/>
      <w:b/>
      <w:bCs/>
      <w:i/>
      <w:iCs/>
      <w:sz w:val="22"/>
      <w:szCs w:val="22"/>
      <w:lang w:val="en-US" w:eastAsia="en-US"/>
    </w:rPr>
  </w:style>
  <w:style w:type="character" w:customStyle="1" w:styleId="Heading5Char">
    <w:name w:val="Heading 5 Char"/>
    <w:link w:val="Heading5"/>
    <w:uiPriority w:val="99"/>
    <w:locked/>
    <w:rsid w:val="000740CE"/>
    <w:rPr>
      <w:rFonts w:ascii="Cambria" w:hAnsi="Cambria" w:cs="Cambria"/>
      <w:b/>
      <w:bCs/>
      <w:color w:val="7F7F7F"/>
      <w:sz w:val="22"/>
      <w:szCs w:val="22"/>
      <w:lang w:val="en-US" w:eastAsia="en-US"/>
    </w:rPr>
  </w:style>
  <w:style w:type="character" w:customStyle="1" w:styleId="Heading6Char">
    <w:name w:val="Heading 6 Char"/>
    <w:link w:val="Heading6"/>
    <w:uiPriority w:val="99"/>
    <w:locked/>
    <w:rsid w:val="000740CE"/>
    <w:rPr>
      <w:rFonts w:ascii="Cambria" w:hAnsi="Cambria" w:cs="Cambria"/>
      <w:b/>
      <w:bCs/>
      <w:i/>
      <w:iCs/>
      <w:color w:val="7F7F7F"/>
      <w:sz w:val="22"/>
      <w:szCs w:val="22"/>
      <w:lang w:val="en-US" w:eastAsia="en-US"/>
    </w:rPr>
  </w:style>
  <w:style w:type="character" w:customStyle="1" w:styleId="Heading7Char">
    <w:name w:val="Heading 7 Char"/>
    <w:link w:val="Heading7"/>
    <w:uiPriority w:val="99"/>
    <w:locked/>
    <w:rsid w:val="000740CE"/>
    <w:rPr>
      <w:rFonts w:ascii="Cambria" w:hAnsi="Cambria" w:cs="Cambria"/>
      <w:i/>
      <w:iCs/>
      <w:sz w:val="22"/>
      <w:szCs w:val="22"/>
      <w:lang w:val="en-US" w:eastAsia="en-US"/>
    </w:rPr>
  </w:style>
  <w:style w:type="character" w:customStyle="1" w:styleId="Heading8Char">
    <w:name w:val="Heading 8 Char"/>
    <w:link w:val="Heading8"/>
    <w:uiPriority w:val="99"/>
    <w:locked/>
    <w:rsid w:val="000740CE"/>
    <w:rPr>
      <w:rFonts w:ascii="Cambria" w:hAnsi="Cambria" w:cs="Cambria"/>
      <w:lang w:val="en-US" w:eastAsia="en-US"/>
    </w:rPr>
  </w:style>
  <w:style w:type="character" w:customStyle="1" w:styleId="Heading9Char">
    <w:name w:val="Heading 9 Char"/>
    <w:link w:val="Heading9"/>
    <w:uiPriority w:val="99"/>
    <w:locked/>
    <w:rsid w:val="000740CE"/>
    <w:rPr>
      <w:rFonts w:ascii="Cambria" w:hAnsi="Cambria" w:cs="Cambria"/>
      <w:i/>
      <w:iCs/>
      <w:spacing w:val="5"/>
      <w:lang w:val="en-US" w:eastAsia="en-US"/>
    </w:rPr>
  </w:style>
  <w:style w:type="paragraph" w:styleId="BalloonText">
    <w:name w:val="Balloon Text"/>
    <w:basedOn w:val="Normal"/>
    <w:link w:val="BalloonTextChar"/>
    <w:uiPriority w:val="99"/>
    <w:semiHidden/>
    <w:rsid w:val="00687F2E"/>
    <w:rPr>
      <w:rFonts w:ascii="Tahoma" w:hAnsi="Tahoma" w:cs="Tahoma"/>
      <w:sz w:val="16"/>
      <w:szCs w:val="16"/>
    </w:rPr>
  </w:style>
  <w:style w:type="character" w:customStyle="1" w:styleId="BalloonTextChar">
    <w:name w:val="Balloon Text Char"/>
    <w:link w:val="BalloonText"/>
    <w:uiPriority w:val="99"/>
    <w:semiHidden/>
    <w:rsid w:val="00A20443"/>
    <w:rPr>
      <w:sz w:val="0"/>
      <w:szCs w:val="0"/>
      <w:lang w:val="en-GB"/>
    </w:rPr>
  </w:style>
  <w:style w:type="table" w:styleId="TableGrid">
    <w:name w:val="Table Grid"/>
    <w:basedOn w:val="TableNormal"/>
    <w:uiPriority w:val="99"/>
    <w:rsid w:val="000D0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700939"/>
    <w:rPr>
      <w:sz w:val="16"/>
      <w:szCs w:val="16"/>
    </w:rPr>
  </w:style>
  <w:style w:type="paragraph" w:styleId="CommentText">
    <w:name w:val="annotation text"/>
    <w:basedOn w:val="Normal"/>
    <w:link w:val="CommentTextChar"/>
    <w:uiPriority w:val="99"/>
    <w:semiHidden/>
    <w:rsid w:val="00700939"/>
    <w:rPr>
      <w:sz w:val="20"/>
      <w:szCs w:val="20"/>
    </w:rPr>
  </w:style>
  <w:style w:type="character" w:customStyle="1" w:styleId="CommentTextChar">
    <w:name w:val="Comment Text Char"/>
    <w:link w:val="CommentText"/>
    <w:uiPriority w:val="99"/>
    <w:semiHidden/>
    <w:rsid w:val="00A20443"/>
    <w:rPr>
      <w:sz w:val="20"/>
      <w:szCs w:val="20"/>
      <w:lang w:val="en-GB"/>
    </w:rPr>
  </w:style>
  <w:style w:type="table" w:styleId="TableGrid6">
    <w:name w:val="Table Grid 6"/>
    <w:basedOn w:val="TableNormal"/>
    <w:uiPriority w:val="99"/>
    <w:rsid w:val="007617C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1">
    <w:name w:val="Table Classic 1"/>
    <w:basedOn w:val="TableNormal"/>
    <w:uiPriority w:val="99"/>
    <w:rsid w:val="004C1B4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99"/>
    <w:qFormat/>
    <w:rsid w:val="000740CE"/>
    <w:pPr>
      <w:spacing w:after="200" w:line="276" w:lineRule="auto"/>
      <w:ind w:left="720"/>
    </w:pPr>
    <w:rPr>
      <w:rFonts w:ascii="Calibri" w:hAnsi="Calibri" w:cs="Calibri"/>
      <w:sz w:val="22"/>
      <w:szCs w:val="22"/>
      <w:lang w:val="en-US"/>
    </w:rPr>
  </w:style>
  <w:style w:type="paragraph" w:styleId="Header">
    <w:name w:val="header"/>
    <w:basedOn w:val="Normal"/>
    <w:link w:val="HeaderChar"/>
    <w:uiPriority w:val="99"/>
    <w:rsid w:val="00181D2D"/>
    <w:pPr>
      <w:tabs>
        <w:tab w:val="center" w:pos="4680"/>
        <w:tab w:val="right" w:pos="9360"/>
      </w:tabs>
    </w:pPr>
  </w:style>
  <w:style w:type="character" w:customStyle="1" w:styleId="HeaderChar">
    <w:name w:val="Header Char"/>
    <w:link w:val="Header"/>
    <w:uiPriority w:val="99"/>
    <w:locked/>
    <w:rsid w:val="00181D2D"/>
    <w:rPr>
      <w:sz w:val="24"/>
      <w:szCs w:val="24"/>
      <w:lang w:val="en-GB"/>
    </w:rPr>
  </w:style>
  <w:style w:type="paragraph" w:styleId="Footer">
    <w:name w:val="footer"/>
    <w:basedOn w:val="Normal"/>
    <w:link w:val="FooterChar"/>
    <w:uiPriority w:val="99"/>
    <w:rsid w:val="00181D2D"/>
    <w:pPr>
      <w:tabs>
        <w:tab w:val="center" w:pos="4680"/>
        <w:tab w:val="right" w:pos="9360"/>
      </w:tabs>
    </w:pPr>
  </w:style>
  <w:style w:type="character" w:customStyle="1" w:styleId="FooterChar">
    <w:name w:val="Footer Char"/>
    <w:link w:val="Footer"/>
    <w:uiPriority w:val="99"/>
    <w:locked/>
    <w:rsid w:val="00181D2D"/>
    <w:rPr>
      <w:sz w:val="24"/>
      <w:szCs w:val="24"/>
      <w:lang w:val="en-GB"/>
    </w:rPr>
  </w:style>
  <w:style w:type="paragraph" w:styleId="NormalWeb">
    <w:name w:val="Normal (Web)"/>
    <w:basedOn w:val="Normal"/>
    <w:uiPriority w:val="99"/>
    <w:unhideWhenUsed/>
    <w:rsid w:val="00E30E29"/>
    <w:pPr>
      <w:spacing w:before="100" w:beforeAutospacing="1" w:after="100" w:afterAutospacing="1"/>
    </w:pPr>
    <w:rPr>
      <w:lang w:val="en-US"/>
    </w:rPr>
  </w:style>
  <w:style w:type="paragraph" w:customStyle="1" w:styleId="Default">
    <w:name w:val="Default"/>
    <w:rsid w:val="00E2334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25451">
      <w:bodyDiv w:val="1"/>
      <w:marLeft w:val="0"/>
      <w:marRight w:val="0"/>
      <w:marTop w:val="0"/>
      <w:marBottom w:val="0"/>
      <w:divBdr>
        <w:top w:val="none" w:sz="0" w:space="0" w:color="auto"/>
        <w:left w:val="none" w:sz="0" w:space="0" w:color="auto"/>
        <w:bottom w:val="none" w:sz="0" w:space="0" w:color="auto"/>
        <w:right w:val="none" w:sz="0" w:space="0" w:color="auto"/>
      </w:divBdr>
    </w:div>
    <w:div w:id="473452567">
      <w:bodyDiv w:val="1"/>
      <w:marLeft w:val="0"/>
      <w:marRight w:val="0"/>
      <w:marTop w:val="0"/>
      <w:marBottom w:val="0"/>
      <w:divBdr>
        <w:top w:val="none" w:sz="0" w:space="0" w:color="auto"/>
        <w:left w:val="none" w:sz="0" w:space="0" w:color="auto"/>
        <w:bottom w:val="none" w:sz="0" w:space="0" w:color="auto"/>
        <w:right w:val="none" w:sz="0" w:space="0" w:color="auto"/>
      </w:divBdr>
    </w:div>
    <w:div w:id="1002438966">
      <w:marLeft w:val="0"/>
      <w:marRight w:val="0"/>
      <w:marTop w:val="0"/>
      <w:marBottom w:val="0"/>
      <w:divBdr>
        <w:top w:val="none" w:sz="0" w:space="0" w:color="auto"/>
        <w:left w:val="none" w:sz="0" w:space="0" w:color="auto"/>
        <w:bottom w:val="none" w:sz="0" w:space="0" w:color="auto"/>
        <w:right w:val="none" w:sz="0" w:space="0" w:color="auto"/>
      </w:divBdr>
    </w:div>
    <w:div w:id="1002438967">
      <w:marLeft w:val="0"/>
      <w:marRight w:val="0"/>
      <w:marTop w:val="0"/>
      <w:marBottom w:val="0"/>
      <w:divBdr>
        <w:top w:val="none" w:sz="0" w:space="0" w:color="auto"/>
        <w:left w:val="none" w:sz="0" w:space="0" w:color="auto"/>
        <w:bottom w:val="none" w:sz="0" w:space="0" w:color="auto"/>
        <w:right w:val="none" w:sz="0" w:space="0" w:color="auto"/>
      </w:divBdr>
    </w:div>
    <w:div w:id="1002438968">
      <w:marLeft w:val="0"/>
      <w:marRight w:val="0"/>
      <w:marTop w:val="0"/>
      <w:marBottom w:val="0"/>
      <w:divBdr>
        <w:top w:val="none" w:sz="0" w:space="0" w:color="auto"/>
        <w:left w:val="none" w:sz="0" w:space="0" w:color="auto"/>
        <w:bottom w:val="none" w:sz="0" w:space="0" w:color="auto"/>
        <w:right w:val="none" w:sz="0" w:space="0" w:color="auto"/>
      </w:divBdr>
    </w:div>
    <w:div w:id="1002438969">
      <w:marLeft w:val="0"/>
      <w:marRight w:val="0"/>
      <w:marTop w:val="0"/>
      <w:marBottom w:val="0"/>
      <w:divBdr>
        <w:top w:val="none" w:sz="0" w:space="0" w:color="auto"/>
        <w:left w:val="none" w:sz="0" w:space="0" w:color="auto"/>
        <w:bottom w:val="none" w:sz="0" w:space="0" w:color="auto"/>
        <w:right w:val="none" w:sz="0" w:space="0" w:color="auto"/>
      </w:divBdr>
    </w:div>
    <w:div w:id="1002438970">
      <w:marLeft w:val="0"/>
      <w:marRight w:val="0"/>
      <w:marTop w:val="0"/>
      <w:marBottom w:val="0"/>
      <w:divBdr>
        <w:top w:val="none" w:sz="0" w:space="0" w:color="auto"/>
        <w:left w:val="none" w:sz="0" w:space="0" w:color="auto"/>
        <w:bottom w:val="none" w:sz="0" w:space="0" w:color="auto"/>
        <w:right w:val="none" w:sz="0" w:space="0" w:color="auto"/>
      </w:divBdr>
    </w:div>
    <w:div w:id="1002438971">
      <w:marLeft w:val="0"/>
      <w:marRight w:val="0"/>
      <w:marTop w:val="0"/>
      <w:marBottom w:val="0"/>
      <w:divBdr>
        <w:top w:val="none" w:sz="0" w:space="0" w:color="auto"/>
        <w:left w:val="none" w:sz="0" w:space="0" w:color="auto"/>
        <w:bottom w:val="none" w:sz="0" w:space="0" w:color="auto"/>
        <w:right w:val="none" w:sz="0" w:space="0" w:color="auto"/>
      </w:divBdr>
    </w:div>
    <w:div w:id="1002438972">
      <w:marLeft w:val="0"/>
      <w:marRight w:val="0"/>
      <w:marTop w:val="0"/>
      <w:marBottom w:val="0"/>
      <w:divBdr>
        <w:top w:val="none" w:sz="0" w:space="0" w:color="auto"/>
        <w:left w:val="none" w:sz="0" w:space="0" w:color="auto"/>
        <w:bottom w:val="none" w:sz="0" w:space="0" w:color="auto"/>
        <w:right w:val="none" w:sz="0" w:space="0" w:color="auto"/>
      </w:divBdr>
    </w:div>
    <w:div w:id="1002438973">
      <w:marLeft w:val="0"/>
      <w:marRight w:val="0"/>
      <w:marTop w:val="0"/>
      <w:marBottom w:val="0"/>
      <w:divBdr>
        <w:top w:val="none" w:sz="0" w:space="0" w:color="auto"/>
        <w:left w:val="none" w:sz="0" w:space="0" w:color="auto"/>
        <w:bottom w:val="none" w:sz="0" w:space="0" w:color="auto"/>
        <w:right w:val="none" w:sz="0" w:space="0" w:color="auto"/>
      </w:divBdr>
    </w:div>
    <w:div w:id="1002438974">
      <w:marLeft w:val="0"/>
      <w:marRight w:val="0"/>
      <w:marTop w:val="0"/>
      <w:marBottom w:val="0"/>
      <w:divBdr>
        <w:top w:val="none" w:sz="0" w:space="0" w:color="auto"/>
        <w:left w:val="none" w:sz="0" w:space="0" w:color="auto"/>
        <w:bottom w:val="none" w:sz="0" w:space="0" w:color="auto"/>
        <w:right w:val="none" w:sz="0" w:space="0" w:color="auto"/>
      </w:divBdr>
    </w:div>
    <w:div w:id="1002438975">
      <w:marLeft w:val="0"/>
      <w:marRight w:val="0"/>
      <w:marTop w:val="0"/>
      <w:marBottom w:val="0"/>
      <w:divBdr>
        <w:top w:val="none" w:sz="0" w:space="0" w:color="auto"/>
        <w:left w:val="none" w:sz="0" w:space="0" w:color="auto"/>
        <w:bottom w:val="none" w:sz="0" w:space="0" w:color="auto"/>
        <w:right w:val="none" w:sz="0" w:space="0" w:color="auto"/>
      </w:divBdr>
    </w:div>
    <w:div w:id="1002438976">
      <w:marLeft w:val="0"/>
      <w:marRight w:val="0"/>
      <w:marTop w:val="0"/>
      <w:marBottom w:val="0"/>
      <w:divBdr>
        <w:top w:val="none" w:sz="0" w:space="0" w:color="auto"/>
        <w:left w:val="none" w:sz="0" w:space="0" w:color="auto"/>
        <w:bottom w:val="none" w:sz="0" w:space="0" w:color="auto"/>
        <w:right w:val="none" w:sz="0" w:space="0" w:color="auto"/>
      </w:divBdr>
    </w:div>
    <w:div w:id="1002438977">
      <w:marLeft w:val="0"/>
      <w:marRight w:val="0"/>
      <w:marTop w:val="0"/>
      <w:marBottom w:val="0"/>
      <w:divBdr>
        <w:top w:val="none" w:sz="0" w:space="0" w:color="auto"/>
        <w:left w:val="none" w:sz="0" w:space="0" w:color="auto"/>
        <w:bottom w:val="none" w:sz="0" w:space="0" w:color="auto"/>
        <w:right w:val="none" w:sz="0" w:space="0" w:color="auto"/>
      </w:divBdr>
    </w:div>
    <w:div w:id="1002438978">
      <w:marLeft w:val="0"/>
      <w:marRight w:val="0"/>
      <w:marTop w:val="0"/>
      <w:marBottom w:val="0"/>
      <w:divBdr>
        <w:top w:val="none" w:sz="0" w:space="0" w:color="auto"/>
        <w:left w:val="none" w:sz="0" w:space="0" w:color="auto"/>
        <w:bottom w:val="none" w:sz="0" w:space="0" w:color="auto"/>
        <w:right w:val="none" w:sz="0" w:space="0" w:color="auto"/>
      </w:divBdr>
    </w:div>
    <w:div w:id="1002438979">
      <w:marLeft w:val="0"/>
      <w:marRight w:val="0"/>
      <w:marTop w:val="0"/>
      <w:marBottom w:val="0"/>
      <w:divBdr>
        <w:top w:val="none" w:sz="0" w:space="0" w:color="auto"/>
        <w:left w:val="none" w:sz="0" w:space="0" w:color="auto"/>
        <w:bottom w:val="none" w:sz="0" w:space="0" w:color="auto"/>
        <w:right w:val="none" w:sz="0" w:space="0" w:color="auto"/>
      </w:divBdr>
    </w:div>
    <w:div w:id="1002438980">
      <w:marLeft w:val="0"/>
      <w:marRight w:val="0"/>
      <w:marTop w:val="0"/>
      <w:marBottom w:val="0"/>
      <w:divBdr>
        <w:top w:val="none" w:sz="0" w:space="0" w:color="auto"/>
        <w:left w:val="none" w:sz="0" w:space="0" w:color="auto"/>
        <w:bottom w:val="none" w:sz="0" w:space="0" w:color="auto"/>
        <w:right w:val="none" w:sz="0" w:space="0" w:color="auto"/>
      </w:divBdr>
    </w:div>
    <w:div w:id="1002438981">
      <w:marLeft w:val="0"/>
      <w:marRight w:val="0"/>
      <w:marTop w:val="0"/>
      <w:marBottom w:val="0"/>
      <w:divBdr>
        <w:top w:val="none" w:sz="0" w:space="0" w:color="auto"/>
        <w:left w:val="none" w:sz="0" w:space="0" w:color="auto"/>
        <w:bottom w:val="none" w:sz="0" w:space="0" w:color="auto"/>
        <w:right w:val="none" w:sz="0" w:space="0" w:color="auto"/>
      </w:divBdr>
    </w:div>
    <w:div w:id="1002438982">
      <w:marLeft w:val="0"/>
      <w:marRight w:val="0"/>
      <w:marTop w:val="0"/>
      <w:marBottom w:val="0"/>
      <w:divBdr>
        <w:top w:val="none" w:sz="0" w:space="0" w:color="auto"/>
        <w:left w:val="none" w:sz="0" w:space="0" w:color="auto"/>
        <w:bottom w:val="none" w:sz="0" w:space="0" w:color="auto"/>
        <w:right w:val="none" w:sz="0" w:space="0" w:color="auto"/>
      </w:divBdr>
    </w:div>
    <w:div w:id="1002438983">
      <w:marLeft w:val="0"/>
      <w:marRight w:val="0"/>
      <w:marTop w:val="0"/>
      <w:marBottom w:val="0"/>
      <w:divBdr>
        <w:top w:val="none" w:sz="0" w:space="0" w:color="auto"/>
        <w:left w:val="none" w:sz="0" w:space="0" w:color="auto"/>
        <w:bottom w:val="none" w:sz="0" w:space="0" w:color="auto"/>
        <w:right w:val="none" w:sz="0" w:space="0" w:color="auto"/>
      </w:divBdr>
    </w:div>
    <w:div w:id="16933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B3277-56C9-4FD9-B190-0C8FE23E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4729</Words>
  <Characters>26959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2003/2004 BUDGET</vt:lpstr>
    </vt:vector>
  </TitlesOfParts>
  <Company>sedibenbg</Company>
  <LinksUpToDate>false</LinksUpToDate>
  <CharactersWithSpaces>31625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BUDGET</dc:title>
  <dc:creator>KajalK</dc:creator>
  <cp:lastModifiedBy>SkapN</cp:lastModifiedBy>
  <cp:revision>2</cp:revision>
  <cp:lastPrinted>2017-03-24T06:16:00Z</cp:lastPrinted>
  <dcterms:created xsi:type="dcterms:W3CDTF">2017-06-01T09:13:00Z</dcterms:created>
  <dcterms:modified xsi:type="dcterms:W3CDTF">2017-06-01T09:13:00Z</dcterms:modified>
</cp:coreProperties>
</file>